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ED56" w14:textId="241179F4" w:rsidR="0040273E" w:rsidRDefault="00167827" w:rsidP="0040273E">
      <w:pPr>
        <w:rPr>
          <w:b/>
        </w:rPr>
      </w:pPr>
      <w:r>
        <w:rPr>
          <w:b/>
        </w:rPr>
        <w:t xml:space="preserve"> </w:t>
      </w:r>
    </w:p>
    <w:p w14:paraId="0B4BAFDF" w14:textId="1FEB7CBB"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A91CBC">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A91CBC" w:rsidRPr="00A91CBC">
        <w:rPr>
          <w:rFonts w:ascii="Times New Roman" w:hAnsi="Times New Roman"/>
          <w:spacing w:val="-2"/>
        </w:rPr>
        <w:t>Thurston County</w:t>
      </w:r>
      <w:r w:rsidRPr="00FC54AA">
        <w:rPr>
          <w:rFonts w:ascii="Times New Roman" w:hAnsi="Times New Roman"/>
          <w:spacing w:val="-2"/>
        </w:rPr>
        <w:t>.</w:t>
      </w:r>
      <w:r w:rsidR="00725AFD">
        <w:rPr>
          <w:rFonts w:ascii="Times New Roman" w:hAnsi="Times New Roman"/>
          <w:spacing w:val="-2"/>
        </w:rPr>
        <w:t xml:space="preserve"> </w:t>
      </w:r>
      <w:r w:rsidRPr="00FC54AA">
        <w:rPr>
          <w:rFonts w:ascii="Times New Roman" w:hAnsi="Times New Roman"/>
          <w:spacing w:val="-2"/>
        </w:rPr>
        <w:t xml:space="preserve">All items may not be applicable in the review of each project and all items of concern to this office may not be covered on this checklist. </w:t>
      </w:r>
    </w:p>
    <w:p w14:paraId="20F048D8" w14:textId="77777777" w:rsidR="005A7D7B" w:rsidRPr="0040273E" w:rsidRDefault="005A7D7B" w:rsidP="0040273E">
      <w:pPr>
        <w:rPr>
          <w:rFonts w:ascii="Times New Roman" w:hAnsi="Times New Roman"/>
          <w:u w:val="single"/>
        </w:rPr>
      </w:pPr>
    </w:p>
    <w:p w14:paraId="4591A9AF" w14:textId="2792607E" w:rsidR="0040273E" w:rsidRPr="0040273E" w:rsidRDefault="0040273E" w:rsidP="0040273E">
      <w:pPr>
        <w:rPr>
          <w:rFonts w:ascii="Times New Roman" w:hAnsi="Times New Roman"/>
        </w:rPr>
      </w:pPr>
    </w:p>
    <w:tbl>
      <w:tblPr>
        <w:tblW w:w="86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49"/>
      </w:tblGrid>
      <w:tr w:rsidR="00A91CBC" w:rsidRPr="00B36276" w14:paraId="7A4FC568" w14:textId="77777777" w:rsidTr="00A91CBC">
        <w:trPr>
          <w:tblHeader/>
        </w:trPr>
        <w:tc>
          <w:tcPr>
            <w:tcW w:w="720" w:type="dxa"/>
            <w:shd w:val="clear" w:color="auto" w:fill="auto"/>
            <w:vAlign w:val="center"/>
          </w:tcPr>
          <w:p w14:paraId="19C219B9" w14:textId="7216E9AB" w:rsidR="00A91CBC" w:rsidRPr="00B36276" w:rsidRDefault="00A91CBC" w:rsidP="00C120A7">
            <w:pPr>
              <w:contextualSpacing/>
              <w:jc w:val="center"/>
              <w:rPr>
                <w:rFonts w:ascii="Times New Roman" w:hAnsi="Times New Roman"/>
                <w:b/>
                <w:szCs w:val="24"/>
              </w:rPr>
            </w:pPr>
            <w:r>
              <w:rPr>
                <w:rFonts w:ascii="Times New Roman" w:hAnsi="Times New Roman"/>
                <w:b/>
                <w:szCs w:val="24"/>
              </w:rPr>
              <w:t>Y</w:t>
            </w:r>
          </w:p>
        </w:tc>
        <w:tc>
          <w:tcPr>
            <w:tcW w:w="720" w:type="dxa"/>
            <w:shd w:val="clear" w:color="auto" w:fill="auto"/>
            <w:vAlign w:val="center"/>
          </w:tcPr>
          <w:p w14:paraId="37AD58A4" w14:textId="57E44273" w:rsidR="00A91CBC" w:rsidRPr="00B36276" w:rsidRDefault="00A91CBC" w:rsidP="00C120A7">
            <w:pPr>
              <w:contextualSpacing/>
              <w:jc w:val="center"/>
              <w:rPr>
                <w:rFonts w:ascii="Times New Roman" w:hAnsi="Times New Roman"/>
                <w:b/>
                <w:szCs w:val="24"/>
              </w:rPr>
            </w:pPr>
            <w:r>
              <w:rPr>
                <w:rFonts w:ascii="Times New Roman" w:hAnsi="Times New Roman"/>
                <w:b/>
                <w:szCs w:val="24"/>
              </w:rPr>
              <w:t>N</w:t>
            </w:r>
          </w:p>
        </w:tc>
        <w:tc>
          <w:tcPr>
            <w:tcW w:w="7249" w:type="dxa"/>
            <w:shd w:val="clear" w:color="auto" w:fill="auto"/>
          </w:tcPr>
          <w:p w14:paraId="28AFC61B" w14:textId="77777777" w:rsidR="00A91CBC" w:rsidRPr="00B36276" w:rsidRDefault="00A91CBC" w:rsidP="0049692E">
            <w:pPr>
              <w:contextualSpacing/>
              <w:jc w:val="center"/>
              <w:rPr>
                <w:rFonts w:ascii="Times New Roman" w:hAnsi="Times New Roman"/>
                <w:b/>
                <w:szCs w:val="24"/>
              </w:rPr>
            </w:pPr>
          </w:p>
        </w:tc>
      </w:tr>
      <w:tr w:rsidR="00A91CBC" w:rsidRPr="00B36276" w14:paraId="23336C09" w14:textId="77777777" w:rsidTr="00A91CBC">
        <w:trPr>
          <w:trHeight w:val="584"/>
        </w:trPr>
        <w:tc>
          <w:tcPr>
            <w:tcW w:w="720" w:type="dxa"/>
            <w:tcBorders>
              <w:top w:val="single" w:sz="4" w:space="0" w:color="auto"/>
              <w:bottom w:val="single" w:sz="4" w:space="0" w:color="auto"/>
            </w:tcBorders>
            <w:shd w:val="clear" w:color="auto" w:fill="B8CCE4" w:themeFill="accent1" w:themeFillTint="66"/>
            <w:vAlign w:val="center"/>
          </w:tcPr>
          <w:p w14:paraId="2BC7BDD0" w14:textId="77777777" w:rsidR="00A91CBC" w:rsidRPr="00B36276" w:rsidRDefault="00A91CBC" w:rsidP="00C120A7">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B8CCE4" w:themeFill="accent1" w:themeFillTint="66"/>
          </w:tcPr>
          <w:p w14:paraId="28C99E72" w14:textId="77777777" w:rsidR="00A91CBC" w:rsidRPr="00B36276" w:rsidRDefault="00A91CBC" w:rsidP="00C120A7">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B8CCE4" w:themeFill="accent1" w:themeFillTint="66"/>
          </w:tcPr>
          <w:p w14:paraId="4C77DF68" w14:textId="6213952E" w:rsidR="00A91CBC" w:rsidRDefault="00A91CBC" w:rsidP="0049692E">
            <w:pPr>
              <w:contextualSpacing/>
              <w:jc w:val="center"/>
              <w:rPr>
                <w:rFonts w:ascii="Times New Roman" w:hAnsi="Times New Roman"/>
                <w:b/>
                <w:szCs w:val="24"/>
              </w:rPr>
            </w:pPr>
            <w:r>
              <w:rPr>
                <w:rFonts w:ascii="Times New Roman" w:hAnsi="Times New Roman"/>
                <w:b/>
                <w:szCs w:val="24"/>
              </w:rPr>
              <w:t>SIZING AND MODELING CRITERIA</w:t>
            </w:r>
          </w:p>
          <w:p w14:paraId="59D032A3" w14:textId="55266E9C" w:rsidR="00A91CBC" w:rsidRPr="000A5DEC" w:rsidRDefault="00A91CBC" w:rsidP="0049692E">
            <w:pPr>
              <w:contextualSpacing/>
              <w:jc w:val="center"/>
              <w:rPr>
                <w:rFonts w:ascii="Times New Roman" w:hAnsi="Times New Roman"/>
                <w:szCs w:val="24"/>
              </w:rPr>
            </w:pPr>
          </w:p>
        </w:tc>
      </w:tr>
      <w:tr w:rsidR="00A91CBC" w:rsidRPr="00B36276" w14:paraId="77018C6A" w14:textId="77777777" w:rsidTr="00A91CBC">
        <w:tc>
          <w:tcPr>
            <w:tcW w:w="720" w:type="dxa"/>
            <w:tcBorders>
              <w:top w:val="single" w:sz="4" w:space="0" w:color="auto"/>
              <w:bottom w:val="single" w:sz="4" w:space="0" w:color="auto"/>
            </w:tcBorders>
            <w:shd w:val="clear" w:color="auto" w:fill="auto"/>
            <w:vAlign w:val="center"/>
          </w:tcPr>
          <w:p w14:paraId="4A02C20A" w14:textId="77777777" w:rsidR="00A91CBC" w:rsidRPr="00B36276" w:rsidRDefault="00A91CBC" w:rsidP="00C120A7">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6DAE0CF" w14:textId="77777777" w:rsidR="00A91CBC" w:rsidRPr="00B36276" w:rsidRDefault="00A91CBC" w:rsidP="00C120A7">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5EF439B" w14:textId="05179E15" w:rsidR="00A91CBC" w:rsidRPr="00A32E7C" w:rsidRDefault="00A91CBC" w:rsidP="009571B4">
            <w:pPr>
              <w:pStyle w:val="Bullet1"/>
              <w:numPr>
                <w:ilvl w:val="0"/>
                <w:numId w:val="0"/>
              </w:numPr>
              <w:spacing w:after="0"/>
              <w:contextualSpacing/>
              <w:rPr>
                <w:highlight w:val="yellow"/>
              </w:rPr>
            </w:pPr>
            <w:r w:rsidRPr="00A32E7C">
              <w:t xml:space="preserve">For compliance with </w:t>
            </w:r>
            <w:r w:rsidR="005C4EE3">
              <w:t>Core</w:t>
            </w:r>
            <w:r w:rsidRPr="00A32E7C">
              <w:t xml:space="preserve"> Requirement #7, the Western Washington Hydrologic Model (WWHM), MGSFlood, or other approved continuous runoff model is used to model the detention pond and contributing area.</w:t>
            </w:r>
          </w:p>
        </w:tc>
      </w:tr>
      <w:tr w:rsidR="00A91CBC" w:rsidRPr="00B36276" w14:paraId="60607E5C" w14:textId="77777777" w:rsidTr="00A91CBC">
        <w:tc>
          <w:tcPr>
            <w:tcW w:w="720" w:type="dxa"/>
            <w:tcBorders>
              <w:top w:val="single" w:sz="4" w:space="0" w:color="auto"/>
              <w:bottom w:val="single" w:sz="4" w:space="0" w:color="auto"/>
            </w:tcBorders>
            <w:shd w:val="clear" w:color="auto" w:fill="auto"/>
            <w:vAlign w:val="center"/>
          </w:tcPr>
          <w:p w14:paraId="4BE71525" w14:textId="77777777" w:rsidR="00A91CBC" w:rsidRPr="00B36276" w:rsidRDefault="00A91CBC" w:rsidP="00B53AF9">
            <w:pPr>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B22F964" w14:textId="77777777" w:rsidR="00A91CBC" w:rsidRPr="00B36276" w:rsidRDefault="00A91CBC" w:rsidP="00B53AF9">
            <w:pPr>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7C66013" w14:textId="7B798A4C" w:rsidR="00A91CBC" w:rsidRPr="00296801" w:rsidRDefault="00167827" w:rsidP="009571B4">
            <w:pPr>
              <w:rPr>
                <w:rFonts w:ascii="Times New Roman" w:hAnsi="Times New Roman"/>
                <w:szCs w:val="24"/>
              </w:rPr>
            </w:pPr>
            <w:r>
              <w:rPr>
                <w:rFonts w:ascii="Times New Roman" w:hAnsi="Times New Roman"/>
                <w:szCs w:val="24"/>
              </w:rPr>
              <w:t>Overflows for Detention Ponds shall comply with Core Requirement #7.</w:t>
            </w:r>
          </w:p>
        </w:tc>
      </w:tr>
      <w:tr w:rsidR="00A91CBC" w:rsidRPr="00B36276" w14:paraId="30F8BBBB" w14:textId="77777777" w:rsidTr="00A91CBC">
        <w:tc>
          <w:tcPr>
            <w:tcW w:w="720" w:type="dxa"/>
            <w:tcBorders>
              <w:top w:val="single" w:sz="4" w:space="0" w:color="auto"/>
              <w:bottom w:val="single" w:sz="4" w:space="0" w:color="auto"/>
            </w:tcBorders>
            <w:shd w:val="clear" w:color="auto" w:fill="auto"/>
            <w:vAlign w:val="center"/>
          </w:tcPr>
          <w:p w14:paraId="5F7C6B21" w14:textId="77777777" w:rsidR="00A91CBC" w:rsidRPr="009571B4" w:rsidRDefault="00A91CBC" w:rsidP="00B53AF9">
            <w:pPr>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326C07B" w14:textId="77777777" w:rsidR="00A91CBC" w:rsidRPr="009571B4" w:rsidRDefault="00A91CBC" w:rsidP="00B53AF9">
            <w:pPr>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0B31350" w14:textId="731AFC94" w:rsidR="00A91CBC" w:rsidRDefault="00A91CBC" w:rsidP="00F54355">
            <w:pPr>
              <w:rPr>
                <w:rFonts w:ascii="Times New Roman" w:hAnsi="Times New Roman"/>
                <w:szCs w:val="24"/>
              </w:rPr>
            </w:pPr>
            <w:r w:rsidRPr="009571B4">
              <w:rPr>
                <w:rFonts w:ascii="Times New Roman" w:hAnsi="Times New Roman"/>
                <w:szCs w:val="24"/>
              </w:rPr>
              <w:t xml:space="preserve">The facility is represented </w:t>
            </w:r>
            <w:r>
              <w:rPr>
                <w:rFonts w:ascii="Times New Roman" w:hAnsi="Times New Roman"/>
                <w:szCs w:val="24"/>
              </w:rPr>
              <w:t>in the model using</w:t>
            </w:r>
            <w:r w:rsidRPr="009571B4">
              <w:rPr>
                <w:rFonts w:ascii="Times New Roman" w:hAnsi="Times New Roman"/>
                <w:szCs w:val="24"/>
              </w:rPr>
              <w:t xml:space="preserve"> the </w:t>
            </w:r>
            <w:r w:rsidRPr="00421C3C">
              <w:rPr>
                <w:rFonts w:ascii="Times New Roman" w:hAnsi="Times New Roman"/>
                <w:szCs w:val="24"/>
              </w:rPr>
              <w:t>pond element</w:t>
            </w:r>
            <w:r w:rsidRPr="009571B4">
              <w:rPr>
                <w:rFonts w:ascii="Times New Roman" w:hAnsi="Times New Roman"/>
                <w:szCs w:val="24"/>
              </w:rPr>
              <w:t>.</w:t>
            </w:r>
          </w:p>
        </w:tc>
      </w:tr>
      <w:tr w:rsidR="00A91CBC" w:rsidRPr="00B36276" w14:paraId="20E4F55A" w14:textId="77777777" w:rsidTr="00A91CBC">
        <w:tc>
          <w:tcPr>
            <w:tcW w:w="720" w:type="dxa"/>
            <w:tcBorders>
              <w:top w:val="single" w:sz="4" w:space="0" w:color="auto"/>
              <w:bottom w:val="single" w:sz="4" w:space="0" w:color="auto"/>
            </w:tcBorders>
            <w:shd w:val="clear" w:color="auto" w:fill="auto"/>
            <w:vAlign w:val="center"/>
          </w:tcPr>
          <w:p w14:paraId="2D3A7CFB"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7D98280"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4516EAC" w14:textId="77777777" w:rsidR="00A91CBC" w:rsidRDefault="00A91CBC" w:rsidP="00BA5628">
            <w:pPr>
              <w:pStyle w:val="Bullet1"/>
              <w:numPr>
                <w:ilvl w:val="0"/>
                <w:numId w:val="0"/>
              </w:numPr>
              <w:spacing w:after="0"/>
              <w:contextualSpacing/>
            </w:pPr>
            <w:r>
              <w:t xml:space="preserve">All </w:t>
            </w:r>
            <w:r w:rsidRPr="00995BBE">
              <w:t xml:space="preserve">control structure restrictor devices </w:t>
            </w:r>
            <w:r>
              <w:t xml:space="preserve">are sized using </w:t>
            </w:r>
            <w:r w:rsidRPr="00995BBE">
              <w:rPr>
                <w:u w:val="single"/>
              </w:rPr>
              <w:t>at least one</w:t>
            </w:r>
            <w:r>
              <w:t xml:space="preserve"> of the following equations:</w:t>
            </w:r>
          </w:p>
          <w:p w14:paraId="3CACECCC" w14:textId="0611F81C" w:rsidR="00A91CBC" w:rsidRDefault="00A91CBC" w:rsidP="00BA5628">
            <w:pPr>
              <w:pStyle w:val="Bullet1"/>
              <w:numPr>
                <w:ilvl w:val="0"/>
                <w:numId w:val="12"/>
              </w:numPr>
              <w:spacing w:after="0"/>
              <w:contextualSpacing/>
            </w:pPr>
            <w:r>
              <w:t xml:space="preserve">Simple Orifice </w:t>
            </w:r>
          </w:p>
          <w:p w14:paraId="5909B153" w14:textId="7436D336" w:rsidR="00A91CBC" w:rsidRDefault="00A91CBC" w:rsidP="009571B4">
            <w:pPr>
              <w:pStyle w:val="Bullet1"/>
              <w:numPr>
                <w:ilvl w:val="0"/>
                <w:numId w:val="12"/>
              </w:numPr>
              <w:spacing w:after="0"/>
              <w:contextualSpacing/>
            </w:pPr>
            <w:r>
              <w:t xml:space="preserve">V-Notch Sharp-Crested Weir </w:t>
            </w:r>
          </w:p>
          <w:p w14:paraId="63E4B20A" w14:textId="7651B6A6" w:rsidR="00A91CBC" w:rsidRDefault="00A91CBC" w:rsidP="00BA5628">
            <w:pPr>
              <w:pStyle w:val="Bullet1"/>
              <w:numPr>
                <w:ilvl w:val="0"/>
                <w:numId w:val="12"/>
              </w:numPr>
              <w:spacing w:after="0"/>
              <w:contextualSpacing/>
            </w:pPr>
            <w:r w:rsidRPr="00995BBE">
              <w:t>Proportional or Sutro Weir</w:t>
            </w:r>
            <w:r>
              <w:t xml:space="preserve"> </w:t>
            </w:r>
          </w:p>
          <w:p w14:paraId="2E437A46" w14:textId="37D8FE35" w:rsidR="00A91CBC" w:rsidRDefault="00A91CBC" w:rsidP="00BA5628">
            <w:pPr>
              <w:pStyle w:val="Bullet1"/>
              <w:numPr>
                <w:ilvl w:val="0"/>
                <w:numId w:val="12"/>
              </w:numPr>
              <w:spacing w:after="0"/>
              <w:contextualSpacing/>
            </w:pPr>
            <w:r>
              <w:t xml:space="preserve">Riser Overflow </w:t>
            </w:r>
          </w:p>
          <w:p w14:paraId="2E702FC2" w14:textId="7D28055C" w:rsidR="00A91CBC" w:rsidRPr="00A22587" w:rsidRDefault="00A91CBC" w:rsidP="00BA5628">
            <w:pPr>
              <w:pStyle w:val="Bullet1"/>
              <w:numPr>
                <w:ilvl w:val="0"/>
                <w:numId w:val="12"/>
              </w:numPr>
              <w:spacing w:after="0"/>
              <w:contextualSpacing/>
            </w:pPr>
            <w:r>
              <w:t xml:space="preserve">Other approved equation by the </w:t>
            </w:r>
            <w:r w:rsidR="00167827">
              <w:t>County</w:t>
            </w:r>
          </w:p>
        </w:tc>
      </w:tr>
      <w:tr w:rsidR="00A91CBC" w:rsidRPr="00B36276" w14:paraId="06B7B53B" w14:textId="77777777" w:rsidTr="00A91CBC">
        <w:trPr>
          <w:trHeight w:val="20"/>
        </w:trPr>
        <w:tc>
          <w:tcPr>
            <w:tcW w:w="720" w:type="dxa"/>
            <w:tcBorders>
              <w:top w:val="single" w:sz="4" w:space="0" w:color="auto"/>
              <w:bottom w:val="single" w:sz="4" w:space="0" w:color="auto"/>
            </w:tcBorders>
            <w:shd w:val="clear" w:color="auto" w:fill="auto"/>
            <w:vAlign w:val="center"/>
          </w:tcPr>
          <w:p w14:paraId="4FE6B545"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0C5095B"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206B76D" w14:textId="357473B7" w:rsidR="00A91CBC" w:rsidRPr="00C008B9" w:rsidRDefault="00A91CBC" w:rsidP="009571B4">
            <w:pPr>
              <w:pStyle w:val="Bullet1"/>
              <w:numPr>
                <w:ilvl w:val="0"/>
                <w:numId w:val="0"/>
              </w:numPr>
              <w:spacing w:after="0"/>
              <w:contextualSpacing/>
            </w:pPr>
            <w:r>
              <w:t>If emergency overflow is provided by an e</w:t>
            </w:r>
            <w:r w:rsidRPr="00D74C2E">
              <w:t>mergency overflow structure</w:t>
            </w:r>
            <w:r>
              <w:t xml:space="preserve">, then the structure is designed </w:t>
            </w:r>
            <w:r w:rsidRPr="00D74C2E">
              <w:t>to pass the 100</w:t>
            </w:r>
            <w:r w:rsidRPr="00D74C2E">
              <w:noBreakHyphen/>
              <w:t>year recurrence interval developed peak flow</w:t>
            </w:r>
            <w:r>
              <w:t xml:space="preserve"> (using broad-crested weir equation)</w:t>
            </w:r>
            <w:r w:rsidRPr="00D74C2E">
              <w:t>.</w:t>
            </w:r>
          </w:p>
        </w:tc>
      </w:tr>
      <w:tr w:rsidR="00A91CBC" w:rsidRPr="00B36276" w14:paraId="2F01F344" w14:textId="77777777" w:rsidTr="00A91CBC">
        <w:tc>
          <w:tcPr>
            <w:tcW w:w="720" w:type="dxa"/>
            <w:tcBorders>
              <w:top w:val="single" w:sz="4" w:space="0" w:color="auto"/>
              <w:bottom w:val="single" w:sz="4" w:space="0" w:color="auto"/>
            </w:tcBorders>
            <w:shd w:val="clear" w:color="auto" w:fill="B8CCE4" w:themeFill="accent1" w:themeFillTint="66"/>
            <w:vAlign w:val="center"/>
          </w:tcPr>
          <w:p w14:paraId="1FF4BC9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B8CCE4" w:themeFill="accent1" w:themeFillTint="66"/>
          </w:tcPr>
          <w:p w14:paraId="0AF33D34"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B8CCE4" w:themeFill="accent1" w:themeFillTint="66"/>
          </w:tcPr>
          <w:p w14:paraId="34C3EBAC" w14:textId="52BDE5ED" w:rsidR="00A91CBC" w:rsidRDefault="00A91CBC" w:rsidP="00BA5628">
            <w:pPr>
              <w:contextualSpacing/>
              <w:jc w:val="center"/>
              <w:rPr>
                <w:rFonts w:ascii="Times New Roman" w:hAnsi="Times New Roman"/>
                <w:b/>
                <w:szCs w:val="24"/>
              </w:rPr>
            </w:pPr>
            <w:r>
              <w:rPr>
                <w:rFonts w:ascii="Times New Roman" w:hAnsi="Times New Roman"/>
                <w:b/>
                <w:szCs w:val="24"/>
              </w:rPr>
              <w:t>DESIGN CRITERIA</w:t>
            </w:r>
          </w:p>
          <w:p w14:paraId="307FB9A6" w14:textId="3A575B09" w:rsidR="00A91CBC" w:rsidRPr="00164D44" w:rsidRDefault="00A91CBC" w:rsidP="00421C3C">
            <w:pPr>
              <w:contextualSpacing/>
              <w:jc w:val="center"/>
              <w:rPr>
                <w:rFonts w:ascii="Times New Roman" w:hAnsi="Times New Roman"/>
                <w:szCs w:val="24"/>
              </w:rPr>
            </w:pPr>
          </w:p>
        </w:tc>
      </w:tr>
      <w:tr w:rsidR="00A91CBC" w:rsidRPr="00B36276" w14:paraId="438EB3B0" w14:textId="77777777" w:rsidTr="00A91CBC">
        <w:trPr>
          <w:trHeight w:val="20"/>
        </w:trPr>
        <w:tc>
          <w:tcPr>
            <w:tcW w:w="720" w:type="dxa"/>
            <w:tcBorders>
              <w:top w:val="single" w:sz="4" w:space="0" w:color="auto"/>
              <w:bottom w:val="single" w:sz="4" w:space="0" w:color="auto"/>
            </w:tcBorders>
            <w:shd w:val="clear" w:color="auto" w:fill="auto"/>
            <w:vAlign w:val="center"/>
          </w:tcPr>
          <w:p w14:paraId="259D388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B8E234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6ED2AC6" w14:textId="216EACE8" w:rsidR="00A91CBC" w:rsidRPr="00960F6F" w:rsidRDefault="00A91CBC" w:rsidP="00A91CBC">
            <w:pPr>
              <w:pStyle w:val="BodyText"/>
              <w:contextualSpacing/>
              <w:jc w:val="left"/>
            </w:pPr>
            <w:r w:rsidRPr="00296801">
              <w:t xml:space="preserve">If infiltration is included as a second outflow, the pond meets all the requirements of </w:t>
            </w:r>
            <w:r w:rsidR="005F7443" w:rsidRPr="00296801">
              <w:t>BMP IN</w:t>
            </w:r>
            <w:r w:rsidRPr="00296801">
              <w:t>.01 Infiltration Basins</w:t>
            </w:r>
            <w:r w:rsidR="005F7443" w:rsidRPr="00296801">
              <w:t xml:space="preserve"> and Volume III for soils report, testing, groundwater pro</w:t>
            </w:r>
            <w:r w:rsidR="00296801" w:rsidRPr="00296801">
              <w:t>tection, presettling, and construction techniques</w:t>
            </w:r>
            <w:r w:rsidRPr="00296801">
              <w:t>.</w:t>
            </w:r>
          </w:p>
        </w:tc>
      </w:tr>
      <w:tr w:rsidR="00A91CBC" w:rsidRPr="00B36276" w14:paraId="5B625854"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33700B77"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6C74B662"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2BEA6CF2" w14:textId="528E4C7D" w:rsidR="00A91CBC" w:rsidRPr="00421C3C" w:rsidRDefault="00A91CBC" w:rsidP="00421C3C">
            <w:pPr>
              <w:pStyle w:val="Bullet1"/>
              <w:numPr>
                <w:ilvl w:val="0"/>
                <w:numId w:val="0"/>
              </w:numPr>
              <w:spacing w:after="0"/>
              <w:contextualSpacing/>
              <w:jc w:val="center"/>
              <w:rPr>
                <w:b/>
              </w:rPr>
            </w:pPr>
            <w:r w:rsidRPr="00A2466C">
              <w:rPr>
                <w:b/>
              </w:rPr>
              <w:t>Setbacks</w:t>
            </w:r>
          </w:p>
        </w:tc>
      </w:tr>
      <w:tr w:rsidR="00A91CBC" w:rsidRPr="00B36276" w14:paraId="53E9D175" w14:textId="77777777" w:rsidTr="00A91CBC">
        <w:tc>
          <w:tcPr>
            <w:tcW w:w="720" w:type="dxa"/>
            <w:tcBorders>
              <w:top w:val="single" w:sz="4" w:space="0" w:color="auto"/>
              <w:bottom w:val="single" w:sz="4" w:space="0" w:color="auto"/>
            </w:tcBorders>
            <w:shd w:val="clear" w:color="auto" w:fill="auto"/>
            <w:vAlign w:val="center"/>
          </w:tcPr>
          <w:p w14:paraId="3F15A67D"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CA0D085"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06C4042" w14:textId="3042ED97" w:rsidR="00A91CBC" w:rsidRPr="000E2143" w:rsidRDefault="00A91CBC">
            <w:pPr>
              <w:pStyle w:val="Bullet1"/>
              <w:numPr>
                <w:ilvl w:val="0"/>
                <w:numId w:val="0"/>
              </w:numPr>
              <w:spacing w:after="0"/>
              <w:contextualSpacing/>
            </w:pPr>
            <w:r w:rsidRPr="00421C3C">
              <w:t>Detention pond open water maximum surface elevations are at least</w:t>
            </w:r>
            <w:r>
              <w:t xml:space="preserve"> </w:t>
            </w:r>
            <w:r w:rsidRPr="000E2143">
              <w:t xml:space="preserve">1 foot </w:t>
            </w:r>
            <w:r w:rsidRPr="00421C3C">
              <w:t>below the lowest finished floor elevation of any</w:t>
            </w:r>
            <w:r w:rsidRPr="000E2143">
              <w:t xml:space="preserve"> structures within 25 feet.</w:t>
            </w:r>
          </w:p>
        </w:tc>
      </w:tr>
      <w:tr w:rsidR="00A91CBC" w:rsidRPr="00B36276" w14:paraId="0490A1E8" w14:textId="77777777" w:rsidTr="00A91CBC">
        <w:tc>
          <w:tcPr>
            <w:tcW w:w="720" w:type="dxa"/>
            <w:tcBorders>
              <w:top w:val="single" w:sz="4" w:space="0" w:color="auto"/>
              <w:bottom w:val="single" w:sz="4" w:space="0" w:color="auto"/>
            </w:tcBorders>
            <w:shd w:val="clear" w:color="auto" w:fill="auto"/>
            <w:vAlign w:val="center"/>
          </w:tcPr>
          <w:p w14:paraId="6A0A4F29"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88BCCDC"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63EDC28" w14:textId="5F2C630C" w:rsidR="00A91CBC" w:rsidRPr="004C5033" w:rsidRDefault="00FE431C" w:rsidP="0081158A">
            <w:pPr>
              <w:pStyle w:val="Bullet1"/>
              <w:numPr>
                <w:ilvl w:val="0"/>
                <w:numId w:val="0"/>
              </w:numPr>
              <w:spacing w:after="0"/>
              <w:contextualSpacing/>
            </w:pPr>
            <w:r>
              <w:t xml:space="preserve">30 </w:t>
            </w:r>
            <w:r w:rsidR="00A91CBC">
              <w:t>feet from m</w:t>
            </w:r>
            <w:r w:rsidR="00A91CBC" w:rsidRPr="0062204E">
              <w:t>aximum water surface to septic tank or distribution box</w:t>
            </w:r>
            <w:r w:rsidR="00A91CBC">
              <w:t>.</w:t>
            </w:r>
            <w:r w:rsidR="00167827">
              <w:t xml:space="preserve"> </w:t>
            </w:r>
          </w:p>
        </w:tc>
      </w:tr>
      <w:tr w:rsidR="00A91CBC" w:rsidRPr="00B36276" w14:paraId="67694BFD" w14:textId="77777777" w:rsidTr="00A91CBC">
        <w:tc>
          <w:tcPr>
            <w:tcW w:w="720" w:type="dxa"/>
            <w:tcBorders>
              <w:top w:val="single" w:sz="4" w:space="0" w:color="auto"/>
              <w:bottom w:val="single" w:sz="4" w:space="0" w:color="auto"/>
            </w:tcBorders>
            <w:shd w:val="clear" w:color="auto" w:fill="auto"/>
            <w:vAlign w:val="center"/>
          </w:tcPr>
          <w:p w14:paraId="03D398C3"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7982C2E"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3E3DB84" w14:textId="3508108F" w:rsidR="00A91CBC" w:rsidRPr="004C5033" w:rsidRDefault="00A91CBC" w:rsidP="0081158A">
            <w:pPr>
              <w:pStyle w:val="Bullet1"/>
              <w:numPr>
                <w:ilvl w:val="0"/>
                <w:numId w:val="0"/>
              </w:numPr>
              <w:spacing w:after="0"/>
              <w:contextualSpacing/>
            </w:pPr>
            <w:r>
              <w:t>10 feet from m</w:t>
            </w:r>
            <w:r w:rsidRPr="00867751">
              <w:t>aximum water surface to property lines and onsite structures</w:t>
            </w:r>
            <w:r>
              <w:t>.</w:t>
            </w:r>
          </w:p>
        </w:tc>
      </w:tr>
      <w:tr w:rsidR="00A91CBC" w:rsidRPr="00B36276" w14:paraId="3790F3EC" w14:textId="77777777" w:rsidTr="00A91CBC">
        <w:tc>
          <w:tcPr>
            <w:tcW w:w="720" w:type="dxa"/>
            <w:tcBorders>
              <w:top w:val="single" w:sz="4" w:space="0" w:color="auto"/>
              <w:bottom w:val="single" w:sz="4" w:space="0" w:color="auto"/>
            </w:tcBorders>
            <w:shd w:val="clear" w:color="auto" w:fill="auto"/>
            <w:vAlign w:val="center"/>
          </w:tcPr>
          <w:p w14:paraId="6CBEE192"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1E0812B"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CC83473" w14:textId="3498D0D3" w:rsidR="00A91CBC" w:rsidRPr="00A7710F" w:rsidRDefault="00A91CBC" w:rsidP="0081158A">
            <w:pPr>
              <w:pStyle w:val="Bullet1"/>
              <w:numPr>
                <w:ilvl w:val="0"/>
                <w:numId w:val="0"/>
              </w:numPr>
              <w:spacing w:after="0"/>
              <w:contextualSpacing/>
            </w:pPr>
            <w:r>
              <w:t>10 feet from m</w:t>
            </w:r>
            <w:r w:rsidRPr="0062204E">
              <w:t>aximum water surface to building sewer</w:t>
            </w:r>
            <w:r>
              <w:t>.</w:t>
            </w:r>
          </w:p>
        </w:tc>
      </w:tr>
      <w:tr w:rsidR="00A91CBC" w:rsidRPr="00B36276" w14:paraId="0EEB3764" w14:textId="77777777" w:rsidTr="00A91CBC">
        <w:tc>
          <w:tcPr>
            <w:tcW w:w="720" w:type="dxa"/>
            <w:tcBorders>
              <w:top w:val="single" w:sz="4" w:space="0" w:color="auto"/>
              <w:bottom w:val="single" w:sz="4" w:space="0" w:color="auto"/>
            </w:tcBorders>
            <w:shd w:val="clear" w:color="auto" w:fill="auto"/>
            <w:vAlign w:val="center"/>
          </w:tcPr>
          <w:p w14:paraId="14ECC03E"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997BC46"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D1EBAA6" w14:textId="27CB3F1A" w:rsidR="00A91CBC" w:rsidRPr="00A7710F" w:rsidRDefault="00A91CBC">
            <w:pPr>
              <w:pStyle w:val="Bullet1"/>
              <w:numPr>
                <w:ilvl w:val="0"/>
                <w:numId w:val="0"/>
              </w:numPr>
              <w:spacing w:after="0"/>
              <w:contextualSpacing/>
            </w:pPr>
            <w:r>
              <w:t>10 feet from m</w:t>
            </w:r>
            <w:r w:rsidRPr="0062204E">
              <w:t>aximum water surface to nearest tract property boundary lines</w:t>
            </w:r>
            <w:r>
              <w:t>.</w:t>
            </w:r>
          </w:p>
        </w:tc>
      </w:tr>
      <w:tr w:rsidR="00A91CBC" w:rsidRPr="00B36276" w14:paraId="489F1A0C" w14:textId="77777777" w:rsidTr="00A91CBC">
        <w:tc>
          <w:tcPr>
            <w:tcW w:w="720" w:type="dxa"/>
            <w:tcBorders>
              <w:top w:val="single" w:sz="4" w:space="0" w:color="auto"/>
              <w:bottom w:val="single" w:sz="4" w:space="0" w:color="auto"/>
            </w:tcBorders>
            <w:shd w:val="clear" w:color="auto" w:fill="auto"/>
            <w:vAlign w:val="center"/>
          </w:tcPr>
          <w:p w14:paraId="7A351335"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12ED828"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D2752C4" w14:textId="542999BA" w:rsidR="00A91CBC" w:rsidRPr="00A7710F" w:rsidRDefault="00A91CBC" w:rsidP="0081158A">
            <w:pPr>
              <w:pStyle w:val="Bullet1"/>
              <w:numPr>
                <w:ilvl w:val="0"/>
                <w:numId w:val="0"/>
              </w:numPr>
              <w:spacing w:after="0"/>
              <w:contextualSpacing/>
            </w:pPr>
            <w:r>
              <w:t>30 feet from m</w:t>
            </w:r>
            <w:r w:rsidRPr="0062204E">
              <w:t>aximum water surface to septic drainfields and drainfield reserve areas for single family onsite sewage disposal systems</w:t>
            </w:r>
            <w:r>
              <w:t>.</w:t>
            </w:r>
          </w:p>
        </w:tc>
      </w:tr>
      <w:tr w:rsidR="00A91CBC" w:rsidRPr="00B36276" w14:paraId="0DECF66A" w14:textId="77777777" w:rsidTr="00A91CBC">
        <w:tc>
          <w:tcPr>
            <w:tcW w:w="720" w:type="dxa"/>
            <w:tcBorders>
              <w:top w:val="single" w:sz="4" w:space="0" w:color="auto"/>
              <w:bottom w:val="single" w:sz="4" w:space="0" w:color="auto"/>
            </w:tcBorders>
            <w:shd w:val="clear" w:color="auto" w:fill="auto"/>
            <w:vAlign w:val="center"/>
          </w:tcPr>
          <w:p w14:paraId="7A930BF1"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63E1110"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6217E09" w14:textId="6C630888" w:rsidR="00A91CBC" w:rsidRPr="00A7710F" w:rsidRDefault="00A91CBC" w:rsidP="0081158A">
            <w:pPr>
              <w:pStyle w:val="Bullet1"/>
              <w:numPr>
                <w:ilvl w:val="0"/>
                <w:numId w:val="0"/>
              </w:numPr>
              <w:spacing w:after="0"/>
              <w:contextualSpacing/>
            </w:pPr>
            <w:r>
              <w:t>100 feet from m</w:t>
            </w:r>
            <w:r w:rsidRPr="0062204E">
              <w:t>aximum water surface to septic drainfields and drainfield reserve areas for community onsite sewage disposal systems</w:t>
            </w:r>
            <w:r>
              <w:t>.</w:t>
            </w:r>
          </w:p>
        </w:tc>
      </w:tr>
      <w:tr w:rsidR="00A91CBC" w:rsidRPr="00B36276" w14:paraId="0755BB4C" w14:textId="77777777" w:rsidTr="00A91CBC">
        <w:tc>
          <w:tcPr>
            <w:tcW w:w="720" w:type="dxa"/>
            <w:tcBorders>
              <w:top w:val="single" w:sz="4" w:space="0" w:color="auto"/>
              <w:bottom w:val="single" w:sz="4" w:space="0" w:color="auto"/>
            </w:tcBorders>
            <w:shd w:val="clear" w:color="auto" w:fill="auto"/>
            <w:vAlign w:val="center"/>
          </w:tcPr>
          <w:p w14:paraId="1ECAEBCC"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9C4B1D8"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9E7A946" w14:textId="601D7B22" w:rsidR="00A91CBC" w:rsidRPr="008729E4" w:rsidRDefault="00A91CBC" w:rsidP="00CF2CA9">
            <w:pPr>
              <w:pStyle w:val="Bullet1"/>
              <w:numPr>
                <w:ilvl w:val="0"/>
                <w:numId w:val="0"/>
              </w:numPr>
              <w:spacing w:after="0"/>
              <w:contextualSpacing/>
            </w:pPr>
            <w:r w:rsidRPr="008729E4">
              <w:t xml:space="preserve">50 feet from the top of slopes steeper than </w:t>
            </w:r>
            <w:r w:rsidR="008729E4" w:rsidRPr="008729E4">
              <w:t>15</w:t>
            </w:r>
            <w:r w:rsidRPr="008729E4">
              <w:t>% and greater than 10 feet high.</w:t>
            </w:r>
          </w:p>
        </w:tc>
      </w:tr>
      <w:tr w:rsidR="00A91CBC" w:rsidRPr="00B36276" w14:paraId="6CB28719" w14:textId="77777777" w:rsidTr="00A91CBC">
        <w:tc>
          <w:tcPr>
            <w:tcW w:w="720" w:type="dxa"/>
            <w:tcBorders>
              <w:top w:val="single" w:sz="4" w:space="0" w:color="auto"/>
              <w:bottom w:val="single" w:sz="4" w:space="0" w:color="auto"/>
            </w:tcBorders>
            <w:shd w:val="clear" w:color="auto" w:fill="auto"/>
            <w:vAlign w:val="center"/>
          </w:tcPr>
          <w:p w14:paraId="1B0BEF79"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3EEBE50"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907D63B" w14:textId="4B53296D" w:rsidR="00A91CBC" w:rsidRPr="00A7710F" w:rsidRDefault="00A91CBC" w:rsidP="0081158A">
            <w:pPr>
              <w:pStyle w:val="Bullet1"/>
              <w:numPr>
                <w:ilvl w:val="0"/>
                <w:numId w:val="0"/>
              </w:numPr>
              <w:spacing w:after="0"/>
              <w:contextualSpacing/>
            </w:pPr>
            <w:r>
              <w:t>100 feet from drinking water w</w:t>
            </w:r>
            <w:r w:rsidRPr="0062204E">
              <w:t>ell to</w:t>
            </w:r>
            <w:r w:rsidRPr="00867751">
              <w:t xml:space="preserve"> </w:t>
            </w:r>
            <w:r>
              <w:t xml:space="preserve">maximum water surface of </w:t>
            </w:r>
            <w:r w:rsidRPr="00867751">
              <w:t>stormwater control</w:t>
            </w:r>
            <w:r>
              <w:t>.</w:t>
            </w:r>
          </w:p>
        </w:tc>
      </w:tr>
      <w:tr w:rsidR="00A91CBC" w:rsidRPr="00B36276" w14:paraId="47C24F6E"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376519B8"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3C986C7B"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3E86784F" w14:textId="42E1E33C" w:rsidR="00A91CBC" w:rsidRPr="00372B68" w:rsidRDefault="00A91CBC" w:rsidP="00421C3C">
            <w:pPr>
              <w:pStyle w:val="Bullet1"/>
              <w:numPr>
                <w:ilvl w:val="0"/>
                <w:numId w:val="0"/>
              </w:numPr>
              <w:spacing w:after="0"/>
              <w:contextualSpacing/>
              <w:jc w:val="center"/>
              <w:rPr>
                <w:b/>
              </w:rPr>
            </w:pPr>
            <w:r w:rsidRPr="00372B68">
              <w:rPr>
                <w:b/>
              </w:rPr>
              <w:t>General Detention Design</w:t>
            </w:r>
          </w:p>
        </w:tc>
      </w:tr>
      <w:tr w:rsidR="00A91CBC" w:rsidRPr="00B36276" w14:paraId="2DD3A40C" w14:textId="77777777" w:rsidTr="00A91CBC">
        <w:trPr>
          <w:trHeight w:val="161"/>
        </w:trPr>
        <w:tc>
          <w:tcPr>
            <w:tcW w:w="720" w:type="dxa"/>
            <w:tcBorders>
              <w:top w:val="single" w:sz="4" w:space="0" w:color="auto"/>
              <w:bottom w:val="single" w:sz="4" w:space="0" w:color="auto"/>
            </w:tcBorders>
            <w:shd w:val="clear" w:color="auto" w:fill="auto"/>
            <w:vAlign w:val="center"/>
          </w:tcPr>
          <w:p w14:paraId="4F735BB2"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7918BFD"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5B437F6" w14:textId="77777777" w:rsidR="00A91CBC" w:rsidRPr="005C4EE3" w:rsidRDefault="00A91CBC" w:rsidP="00B53AF9">
            <w:pPr>
              <w:pStyle w:val="Bullet1"/>
              <w:numPr>
                <w:ilvl w:val="0"/>
                <w:numId w:val="0"/>
              </w:numPr>
              <w:spacing w:after="0"/>
              <w:contextualSpacing/>
            </w:pPr>
            <w:r w:rsidRPr="005C4EE3">
              <w:t>If the detention pond impounds 10 acre-feet or more at the embankment crest, it meets the dam safety requirements (WAC 173</w:t>
            </w:r>
            <w:r w:rsidRPr="005C4EE3">
              <w:noBreakHyphen/>
              <w:t>175</w:t>
            </w:r>
            <w:r w:rsidRPr="005C4EE3">
              <w:noBreakHyphen/>
              <w:t>020(1)).</w:t>
            </w:r>
          </w:p>
        </w:tc>
      </w:tr>
      <w:tr w:rsidR="00A91CBC" w:rsidRPr="00B906EC" w14:paraId="788D6568" w14:textId="77777777" w:rsidTr="00A91CBC">
        <w:trPr>
          <w:trHeight w:val="20"/>
        </w:trPr>
        <w:tc>
          <w:tcPr>
            <w:tcW w:w="720" w:type="dxa"/>
            <w:tcBorders>
              <w:top w:val="single" w:sz="4" w:space="0" w:color="auto"/>
              <w:bottom w:val="single" w:sz="4" w:space="0" w:color="auto"/>
            </w:tcBorders>
            <w:shd w:val="clear" w:color="auto" w:fill="auto"/>
            <w:vAlign w:val="center"/>
          </w:tcPr>
          <w:p w14:paraId="557410F7" w14:textId="77777777" w:rsidR="00A91CBC" w:rsidRPr="00B906EC"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0BBC59F" w14:textId="77777777" w:rsidR="00A91CBC" w:rsidRPr="00B906EC"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E994233" w14:textId="6D6AB1FC" w:rsidR="00A91CBC" w:rsidRPr="005C4EE3" w:rsidRDefault="00A91CBC" w:rsidP="00BA5628">
            <w:pPr>
              <w:pStyle w:val="Bullet1"/>
              <w:numPr>
                <w:ilvl w:val="0"/>
                <w:numId w:val="0"/>
              </w:numPr>
              <w:spacing w:after="0"/>
              <w:contextualSpacing/>
            </w:pPr>
            <w:r w:rsidRPr="005C4EE3">
              <w:t>Pond is designed as a flow-through system.</w:t>
            </w:r>
          </w:p>
        </w:tc>
      </w:tr>
      <w:tr w:rsidR="00A91CBC" w:rsidRPr="00B36276" w14:paraId="627800C7" w14:textId="77777777" w:rsidTr="00A91CBC">
        <w:trPr>
          <w:trHeight w:val="584"/>
        </w:trPr>
        <w:tc>
          <w:tcPr>
            <w:tcW w:w="720" w:type="dxa"/>
            <w:tcBorders>
              <w:top w:val="single" w:sz="4" w:space="0" w:color="auto"/>
              <w:bottom w:val="single" w:sz="4" w:space="0" w:color="auto"/>
            </w:tcBorders>
            <w:shd w:val="clear" w:color="auto" w:fill="auto"/>
            <w:vAlign w:val="center"/>
          </w:tcPr>
          <w:p w14:paraId="11C92FC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E3AABC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BDDAE63" w14:textId="30EB578F" w:rsidR="00A91CBC" w:rsidRPr="00A32E7C" w:rsidRDefault="00A91CBC" w:rsidP="009571B4">
            <w:pPr>
              <w:pStyle w:val="Bullet1"/>
              <w:numPr>
                <w:ilvl w:val="0"/>
                <w:numId w:val="0"/>
              </w:numPr>
              <w:spacing w:after="0"/>
              <w:contextualSpacing/>
              <w:rPr>
                <w:highlight w:val="yellow"/>
              </w:rPr>
            </w:pPr>
            <w:r w:rsidRPr="005C4EE3">
              <w:t>Pond bottom is level and located at least 0.5 feet below the inlet and outlet to provide sediment storage.</w:t>
            </w:r>
          </w:p>
        </w:tc>
      </w:tr>
      <w:tr w:rsidR="00A91CBC" w:rsidRPr="00B36276" w14:paraId="7F25DBCF" w14:textId="77777777" w:rsidTr="00A91CBC">
        <w:trPr>
          <w:trHeight w:val="20"/>
        </w:trPr>
        <w:tc>
          <w:tcPr>
            <w:tcW w:w="720" w:type="dxa"/>
            <w:tcBorders>
              <w:top w:val="single" w:sz="4" w:space="0" w:color="auto"/>
              <w:bottom w:val="single" w:sz="4" w:space="0" w:color="auto"/>
            </w:tcBorders>
            <w:shd w:val="clear" w:color="auto" w:fill="auto"/>
            <w:vAlign w:val="center"/>
          </w:tcPr>
          <w:p w14:paraId="009A7242"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01DF16B"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7C36C7D" w14:textId="471D3888" w:rsidR="00A91CBC" w:rsidRPr="00A32E7C" w:rsidRDefault="00A91CBC" w:rsidP="009571B4">
            <w:pPr>
              <w:pStyle w:val="Bullet1"/>
              <w:numPr>
                <w:ilvl w:val="0"/>
                <w:numId w:val="0"/>
              </w:numPr>
              <w:spacing w:after="0"/>
              <w:contextualSpacing/>
              <w:rPr>
                <w:highlight w:val="yellow"/>
              </w:rPr>
            </w:pPr>
            <w:r w:rsidRPr="003A50EA">
              <w:t>Includes a crest gauge.</w:t>
            </w:r>
          </w:p>
        </w:tc>
      </w:tr>
      <w:tr w:rsidR="00A91CBC" w:rsidRPr="00B36276" w14:paraId="4337044A" w14:textId="77777777" w:rsidTr="00A91CBC">
        <w:trPr>
          <w:trHeight w:val="20"/>
        </w:trPr>
        <w:tc>
          <w:tcPr>
            <w:tcW w:w="720" w:type="dxa"/>
            <w:tcBorders>
              <w:top w:val="single" w:sz="4" w:space="0" w:color="auto"/>
              <w:bottom w:val="single" w:sz="4" w:space="0" w:color="auto"/>
            </w:tcBorders>
            <w:shd w:val="clear" w:color="auto" w:fill="auto"/>
            <w:vAlign w:val="center"/>
          </w:tcPr>
          <w:p w14:paraId="04EA4AE3"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B47A20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61FF641" w14:textId="3386C7FD" w:rsidR="00A91CBC" w:rsidRPr="00A32E7C" w:rsidRDefault="00A91CBC" w:rsidP="00BA5628">
            <w:pPr>
              <w:pStyle w:val="Bullet1"/>
              <w:numPr>
                <w:ilvl w:val="0"/>
                <w:numId w:val="0"/>
              </w:numPr>
              <w:spacing w:after="0"/>
              <w:contextualSpacing/>
              <w:rPr>
                <w:highlight w:val="yellow"/>
              </w:rPr>
            </w:pPr>
            <w:r w:rsidRPr="003A50EA">
              <w:t>Project submittals include a table that identifies the design facility stage expected for the 2-, 5-, 10-, 25-, 50-, and 100</w:t>
            </w:r>
            <w:r w:rsidRPr="003A50EA">
              <w:noBreakHyphen/>
              <w:t>year recurrence interval flows.</w:t>
            </w:r>
          </w:p>
        </w:tc>
      </w:tr>
      <w:tr w:rsidR="00A91CBC" w:rsidRPr="00B36276" w14:paraId="4389E24A" w14:textId="77777777" w:rsidTr="00A91CBC">
        <w:trPr>
          <w:trHeight w:val="20"/>
        </w:trPr>
        <w:tc>
          <w:tcPr>
            <w:tcW w:w="720" w:type="dxa"/>
            <w:tcBorders>
              <w:top w:val="single" w:sz="4" w:space="0" w:color="auto"/>
              <w:bottom w:val="single" w:sz="4" w:space="0" w:color="auto"/>
            </w:tcBorders>
            <w:shd w:val="clear" w:color="auto" w:fill="auto"/>
            <w:vAlign w:val="center"/>
          </w:tcPr>
          <w:p w14:paraId="0002042E"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866FD3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20C78FA" w14:textId="1B6C2469" w:rsidR="00A91CBC" w:rsidRPr="00A32E7C" w:rsidRDefault="00A91CBC" w:rsidP="006D72BB">
            <w:pPr>
              <w:pStyle w:val="Bullet1"/>
              <w:numPr>
                <w:ilvl w:val="0"/>
                <w:numId w:val="0"/>
              </w:numPr>
              <w:spacing w:after="0"/>
              <w:contextualSpacing/>
              <w:rPr>
                <w:highlight w:val="yellow"/>
              </w:rPr>
            </w:pPr>
            <w:r w:rsidRPr="005C4EE3">
              <w:t xml:space="preserve">A geotechnical assessment and soils report is prepared for work located within 300 feet of the top of a steep slope, erosion hazard, or landslide hazard area. </w:t>
            </w:r>
          </w:p>
        </w:tc>
      </w:tr>
      <w:tr w:rsidR="00A91CBC" w:rsidRPr="00B36276" w14:paraId="13BB71BE"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1033D03A"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2EC8003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49BDDC5B" w14:textId="57414878" w:rsidR="00A91CBC" w:rsidRPr="00EB5F9E" w:rsidRDefault="00A91CBC" w:rsidP="00421C3C">
            <w:pPr>
              <w:pStyle w:val="Bullet1"/>
              <w:numPr>
                <w:ilvl w:val="0"/>
                <w:numId w:val="0"/>
              </w:numPr>
              <w:spacing w:after="0"/>
              <w:contextualSpacing/>
              <w:jc w:val="center"/>
              <w:rPr>
                <w:b/>
              </w:rPr>
            </w:pPr>
            <w:r w:rsidRPr="00EB5F9E">
              <w:rPr>
                <w:b/>
              </w:rPr>
              <w:t>Side Slopes</w:t>
            </w:r>
          </w:p>
        </w:tc>
      </w:tr>
      <w:tr w:rsidR="00A91CBC" w:rsidRPr="00B36276" w14:paraId="586B3FD7" w14:textId="77777777" w:rsidTr="00A91CBC">
        <w:trPr>
          <w:trHeight w:val="20"/>
        </w:trPr>
        <w:tc>
          <w:tcPr>
            <w:tcW w:w="720" w:type="dxa"/>
            <w:tcBorders>
              <w:top w:val="single" w:sz="4" w:space="0" w:color="auto"/>
              <w:bottom w:val="single" w:sz="4" w:space="0" w:color="auto"/>
            </w:tcBorders>
            <w:shd w:val="clear" w:color="auto" w:fill="auto"/>
            <w:vAlign w:val="center"/>
          </w:tcPr>
          <w:p w14:paraId="10A143E5"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5B66DB1"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29AD1B1" w14:textId="1FCDB140" w:rsidR="00A91CBC" w:rsidRDefault="00A91CBC" w:rsidP="009571B4">
            <w:pPr>
              <w:pStyle w:val="Bullet1"/>
              <w:numPr>
                <w:ilvl w:val="0"/>
                <w:numId w:val="0"/>
              </w:numPr>
              <w:spacing w:after="0"/>
              <w:contextualSpacing/>
            </w:pPr>
            <w:r>
              <w:t>Interior side slopes are no sleeper than 3H:1V (unless a fence is provided).</w:t>
            </w:r>
          </w:p>
        </w:tc>
      </w:tr>
      <w:tr w:rsidR="00A91CBC" w:rsidRPr="00B36276" w14:paraId="44650476" w14:textId="77777777" w:rsidTr="00A91CBC">
        <w:trPr>
          <w:trHeight w:val="20"/>
        </w:trPr>
        <w:tc>
          <w:tcPr>
            <w:tcW w:w="720" w:type="dxa"/>
            <w:tcBorders>
              <w:top w:val="single" w:sz="4" w:space="0" w:color="auto"/>
              <w:bottom w:val="single" w:sz="4" w:space="0" w:color="auto"/>
            </w:tcBorders>
            <w:shd w:val="clear" w:color="auto" w:fill="auto"/>
            <w:vAlign w:val="center"/>
          </w:tcPr>
          <w:p w14:paraId="77CD0F4F"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0D133A7"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4B73B26" w14:textId="0227D2D6" w:rsidR="00A91CBC" w:rsidRPr="00960F6F" w:rsidRDefault="00A91CBC" w:rsidP="009571B4">
            <w:pPr>
              <w:pStyle w:val="Bullet1"/>
              <w:numPr>
                <w:ilvl w:val="0"/>
                <w:numId w:val="0"/>
              </w:numPr>
              <w:spacing w:after="0"/>
              <w:contextualSpacing/>
            </w:pPr>
            <w:r>
              <w:t>Exterior and interior side</w:t>
            </w:r>
            <w:r w:rsidRPr="00C27360">
              <w:t xml:space="preserve"> slopes steeper than 2H:1V</w:t>
            </w:r>
            <w:r>
              <w:t xml:space="preserve"> were </w:t>
            </w:r>
            <w:r w:rsidRPr="00C27360">
              <w:t xml:space="preserve">analyzed </w:t>
            </w:r>
            <w:r>
              <w:t>for stability</w:t>
            </w:r>
            <w:r w:rsidRPr="00C27360">
              <w:t xml:space="preserve"> by a geotechnical engineer.</w:t>
            </w:r>
          </w:p>
        </w:tc>
      </w:tr>
      <w:tr w:rsidR="00A91CBC" w:rsidRPr="00B36276" w14:paraId="7905905E" w14:textId="77777777" w:rsidTr="00A91CBC">
        <w:trPr>
          <w:trHeight w:val="20"/>
        </w:trPr>
        <w:tc>
          <w:tcPr>
            <w:tcW w:w="720" w:type="dxa"/>
            <w:tcBorders>
              <w:top w:val="single" w:sz="4" w:space="0" w:color="auto"/>
              <w:bottom w:val="single" w:sz="4" w:space="0" w:color="auto"/>
            </w:tcBorders>
            <w:shd w:val="clear" w:color="auto" w:fill="auto"/>
            <w:vAlign w:val="center"/>
          </w:tcPr>
          <w:p w14:paraId="7C41C31B"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1E6DF7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1235439" w14:textId="7CCB8ECB" w:rsidR="00A91CBC" w:rsidRDefault="00A91CBC" w:rsidP="00BA5628">
            <w:pPr>
              <w:pStyle w:val="Bullet1"/>
              <w:numPr>
                <w:ilvl w:val="0"/>
                <w:numId w:val="0"/>
              </w:numPr>
              <w:spacing w:after="0"/>
              <w:contextualSpacing/>
            </w:pPr>
            <w:r>
              <w:t>V</w:t>
            </w:r>
            <w:r w:rsidRPr="00C27360">
              <w:t>ertical retaining walls</w:t>
            </w:r>
            <w:r>
              <w:t xml:space="preserve"> are only used when </w:t>
            </w:r>
            <w:r w:rsidR="00EB58A7" w:rsidRPr="00834B1C">
              <w:rPr>
                <w:u w:val="single"/>
              </w:rPr>
              <w:t>all</w:t>
            </w:r>
            <w:r>
              <w:t xml:space="preserve"> the following conditions are met: </w:t>
            </w:r>
          </w:p>
          <w:p w14:paraId="5099C0CD" w14:textId="42D51CA9" w:rsidR="00A91CBC" w:rsidRDefault="00A91CBC" w:rsidP="009571B4">
            <w:pPr>
              <w:pStyle w:val="Bullet1"/>
              <w:numPr>
                <w:ilvl w:val="0"/>
                <w:numId w:val="14"/>
              </w:numPr>
              <w:spacing w:after="0"/>
              <w:contextualSpacing/>
            </w:pPr>
            <w:r>
              <w:t xml:space="preserve">Walls are constructed of </w:t>
            </w:r>
            <w:r w:rsidR="00953F2F">
              <w:t xml:space="preserve">minimum </w:t>
            </w:r>
            <w:r w:rsidRPr="006E5248">
              <w:t xml:space="preserve">3,000 psi structural reinforced concrete </w:t>
            </w:r>
            <w:r>
              <w:t xml:space="preserve">(min.) with water stops at all construction </w:t>
            </w:r>
            <w:r w:rsidRPr="006E5248">
              <w:t>joints</w:t>
            </w:r>
            <w:r>
              <w:t>.</w:t>
            </w:r>
          </w:p>
          <w:p w14:paraId="14E820DB" w14:textId="49160A20" w:rsidR="00A91CBC" w:rsidRDefault="00A91CBC" w:rsidP="00BA5628">
            <w:pPr>
              <w:pStyle w:val="Bullet1"/>
              <w:numPr>
                <w:ilvl w:val="0"/>
                <w:numId w:val="14"/>
              </w:numPr>
              <w:spacing w:after="0"/>
              <w:contextualSpacing/>
            </w:pPr>
            <w:r>
              <w:t>A</w:t>
            </w:r>
            <w:r w:rsidRPr="00C27360">
              <w:t xml:space="preserve"> fence is provided alon</w:t>
            </w:r>
            <w:r w:rsidRPr="00D74C2E">
              <w:t>g the top of the wall</w:t>
            </w:r>
            <w:r w:rsidR="00C978DC">
              <w:t xml:space="preserve"> in accordance with regulations such as the International Building </w:t>
            </w:r>
            <w:r w:rsidR="00EB58A7">
              <w:t>Code.</w:t>
            </w:r>
            <w:r w:rsidR="00953F2F">
              <w:t xml:space="preserve"> </w:t>
            </w:r>
          </w:p>
          <w:p w14:paraId="73794699" w14:textId="2C4DF68F" w:rsidR="00A91CBC" w:rsidRDefault="00A91CBC" w:rsidP="00BA5628">
            <w:pPr>
              <w:pStyle w:val="Bullet1"/>
              <w:numPr>
                <w:ilvl w:val="0"/>
                <w:numId w:val="14"/>
              </w:numPr>
              <w:spacing w:after="0"/>
              <w:contextualSpacing/>
            </w:pPr>
            <w:r>
              <w:t xml:space="preserve">The </w:t>
            </w:r>
            <w:r w:rsidRPr="00D74C2E">
              <w:t xml:space="preserve">design is stamped by a licensed civil engineer with structural </w:t>
            </w:r>
            <w:r w:rsidR="00EB58A7" w:rsidRPr="00D74C2E">
              <w:t>expertise.</w:t>
            </w:r>
            <w:r w:rsidRPr="00D74C2E">
              <w:t xml:space="preserve"> </w:t>
            </w:r>
          </w:p>
          <w:p w14:paraId="1118A1D8" w14:textId="3BFEF23F" w:rsidR="00A91CBC" w:rsidRPr="00960F6F" w:rsidRDefault="00A91CBC" w:rsidP="00BA5628">
            <w:pPr>
              <w:pStyle w:val="Bullet1"/>
              <w:numPr>
                <w:ilvl w:val="0"/>
                <w:numId w:val="14"/>
              </w:numPr>
              <w:spacing w:after="0"/>
              <w:contextualSpacing/>
            </w:pPr>
            <w:r>
              <w:t xml:space="preserve">An </w:t>
            </w:r>
            <w:r w:rsidRPr="00D74C2E">
              <w:t>access ramp to the bottom of the pond is provided.</w:t>
            </w:r>
            <w:r>
              <w:t xml:space="preserve"> </w:t>
            </w:r>
          </w:p>
        </w:tc>
      </w:tr>
      <w:tr w:rsidR="00A91CBC" w:rsidRPr="00B36276" w14:paraId="233BDBFB" w14:textId="77777777" w:rsidTr="00A91CBC">
        <w:trPr>
          <w:trHeight w:val="20"/>
        </w:trPr>
        <w:tc>
          <w:tcPr>
            <w:tcW w:w="720" w:type="dxa"/>
            <w:tcBorders>
              <w:top w:val="single" w:sz="4" w:space="0" w:color="auto"/>
              <w:bottom w:val="single" w:sz="4" w:space="0" w:color="auto"/>
            </w:tcBorders>
            <w:shd w:val="clear" w:color="auto" w:fill="auto"/>
            <w:vAlign w:val="center"/>
          </w:tcPr>
          <w:p w14:paraId="65D0035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81C8D1F"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A5ED5C5" w14:textId="16ADDA4C" w:rsidR="00A91CBC" w:rsidRDefault="00A91CBC" w:rsidP="00BA5628">
            <w:pPr>
              <w:pStyle w:val="Bullet1"/>
              <w:numPr>
                <w:ilvl w:val="0"/>
                <w:numId w:val="0"/>
              </w:numPr>
              <w:spacing w:after="0"/>
              <w:contextualSpacing/>
            </w:pPr>
            <w:r>
              <w:t>O</w:t>
            </w:r>
            <w:r w:rsidRPr="00D74C2E">
              <w:t xml:space="preserve">ther retaining walls such as rockeries, concrete, masonry unit walls, and keystone type wall </w:t>
            </w:r>
            <w:r>
              <w:t xml:space="preserve">were </w:t>
            </w:r>
            <w:r w:rsidRPr="00D74C2E">
              <w:t>designed by a geotechnical engineer or a civil engineer with structural expertise.</w:t>
            </w:r>
          </w:p>
        </w:tc>
      </w:tr>
      <w:tr w:rsidR="00A91CBC" w:rsidRPr="00B36276" w14:paraId="4BDC5177"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6BEB9A15"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4882F8A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638A4DEC" w14:textId="2991A7B1" w:rsidR="00A91CBC" w:rsidRPr="00A2466C" w:rsidRDefault="00A91CBC" w:rsidP="00421C3C">
            <w:pPr>
              <w:pStyle w:val="Bullet1"/>
              <w:numPr>
                <w:ilvl w:val="0"/>
                <w:numId w:val="0"/>
              </w:numPr>
              <w:spacing w:after="0"/>
              <w:contextualSpacing/>
              <w:jc w:val="center"/>
              <w:rPr>
                <w:b/>
              </w:rPr>
            </w:pPr>
            <w:r>
              <w:rPr>
                <w:b/>
              </w:rPr>
              <w:t>Embankments</w:t>
            </w:r>
          </w:p>
        </w:tc>
      </w:tr>
      <w:tr w:rsidR="00A91CBC" w:rsidRPr="00B36276" w14:paraId="10971585" w14:textId="77777777" w:rsidTr="00A91CBC">
        <w:trPr>
          <w:trHeight w:val="20"/>
        </w:trPr>
        <w:tc>
          <w:tcPr>
            <w:tcW w:w="720" w:type="dxa"/>
            <w:tcBorders>
              <w:top w:val="single" w:sz="4" w:space="0" w:color="auto"/>
              <w:bottom w:val="single" w:sz="4" w:space="0" w:color="auto"/>
            </w:tcBorders>
            <w:shd w:val="clear" w:color="auto" w:fill="auto"/>
            <w:vAlign w:val="center"/>
          </w:tcPr>
          <w:p w14:paraId="315F0CA0"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6741F08"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FD745A1" w14:textId="152665C3" w:rsidR="00A91CBC" w:rsidRPr="00A32E7C" w:rsidRDefault="00A91CBC" w:rsidP="00B53AF9">
            <w:pPr>
              <w:pStyle w:val="Bullet1"/>
              <w:numPr>
                <w:ilvl w:val="0"/>
                <w:numId w:val="0"/>
              </w:numPr>
              <w:spacing w:after="0"/>
              <w:contextualSpacing/>
              <w:rPr>
                <w:highlight w:val="yellow"/>
              </w:rPr>
            </w:pPr>
            <w:r w:rsidRPr="008729E4">
              <w:t>Embankments greater than 6 feet in height were designed by a professional engineer with geotechnical expertise.</w:t>
            </w:r>
          </w:p>
        </w:tc>
      </w:tr>
      <w:tr w:rsidR="00A91CBC" w:rsidRPr="00B36276" w14:paraId="22EEAD0C" w14:textId="77777777" w:rsidTr="00A91CBC">
        <w:trPr>
          <w:trHeight w:val="440"/>
        </w:trPr>
        <w:tc>
          <w:tcPr>
            <w:tcW w:w="720" w:type="dxa"/>
            <w:tcBorders>
              <w:top w:val="single" w:sz="4" w:space="0" w:color="auto"/>
              <w:bottom w:val="single" w:sz="4" w:space="0" w:color="auto"/>
            </w:tcBorders>
            <w:shd w:val="clear" w:color="auto" w:fill="auto"/>
            <w:vAlign w:val="center"/>
          </w:tcPr>
          <w:p w14:paraId="0CDDB6F6"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0C0AFD1"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B25C475" w14:textId="77777777" w:rsidR="00A91CBC" w:rsidRPr="005C4EE3" w:rsidRDefault="00A91CBC" w:rsidP="00B53AF9">
            <w:pPr>
              <w:pStyle w:val="Bullet1"/>
              <w:numPr>
                <w:ilvl w:val="0"/>
                <w:numId w:val="0"/>
              </w:numPr>
              <w:spacing w:after="0"/>
              <w:contextualSpacing/>
            </w:pPr>
            <w:r w:rsidRPr="005C4EE3">
              <w:t>Embankments less than 6 feet in height have a minimum 6</w:t>
            </w:r>
            <w:r w:rsidRPr="005C4EE3">
              <w:noBreakHyphen/>
              <w:t xml:space="preserve">foot top width and sides less than 2H:1V. </w:t>
            </w:r>
          </w:p>
        </w:tc>
      </w:tr>
      <w:tr w:rsidR="00A91CBC" w:rsidRPr="00B36276" w14:paraId="7CF33160" w14:textId="77777777" w:rsidTr="00A91CBC">
        <w:trPr>
          <w:trHeight w:val="20"/>
        </w:trPr>
        <w:tc>
          <w:tcPr>
            <w:tcW w:w="720" w:type="dxa"/>
            <w:tcBorders>
              <w:top w:val="single" w:sz="4" w:space="0" w:color="auto"/>
              <w:bottom w:val="single" w:sz="4" w:space="0" w:color="auto"/>
            </w:tcBorders>
            <w:shd w:val="clear" w:color="auto" w:fill="auto"/>
            <w:vAlign w:val="center"/>
          </w:tcPr>
          <w:p w14:paraId="48F4F79F" w14:textId="77777777" w:rsidR="00A91CBC" w:rsidRPr="00B36276" w:rsidRDefault="00A91CBC" w:rsidP="00B32376">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8CC6D18" w14:textId="77777777" w:rsidR="00A91CBC" w:rsidRPr="00B36276" w:rsidRDefault="00A91CBC" w:rsidP="00B32376">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58225DB" w14:textId="77777777" w:rsidR="00A91CBC" w:rsidRPr="00A32E7C" w:rsidRDefault="00A91CBC" w:rsidP="00B32376">
            <w:pPr>
              <w:pStyle w:val="Bullet1"/>
              <w:numPr>
                <w:ilvl w:val="0"/>
                <w:numId w:val="0"/>
              </w:numPr>
              <w:spacing w:after="0"/>
              <w:contextualSpacing/>
              <w:rPr>
                <w:highlight w:val="yellow"/>
              </w:rPr>
            </w:pPr>
            <w:r w:rsidRPr="005C4EE3">
              <w:t>Anti-seepage collars are placed on outflow pipes in embankments impounding water greater than 8 feet in depth at the design water surface.</w:t>
            </w:r>
          </w:p>
        </w:tc>
      </w:tr>
      <w:tr w:rsidR="00A91CBC" w:rsidRPr="00B36276" w14:paraId="42961C65" w14:textId="77777777" w:rsidTr="00A91CBC">
        <w:trPr>
          <w:trHeight w:val="620"/>
        </w:trPr>
        <w:tc>
          <w:tcPr>
            <w:tcW w:w="720" w:type="dxa"/>
            <w:tcBorders>
              <w:top w:val="single" w:sz="4" w:space="0" w:color="auto"/>
              <w:bottom w:val="single" w:sz="4" w:space="0" w:color="auto"/>
            </w:tcBorders>
            <w:shd w:val="clear" w:color="auto" w:fill="auto"/>
            <w:vAlign w:val="center"/>
          </w:tcPr>
          <w:p w14:paraId="5FC25D03"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E773194"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DB5CD68" w14:textId="02EDDBF6" w:rsidR="00A91CBC" w:rsidRPr="00A32E7C" w:rsidRDefault="00A91CBC" w:rsidP="005E1AFA">
            <w:pPr>
              <w:pStyle w:val="Bullet1"/>
              <w:numPr>
                <w:ilvl w:val="0"/>
                <w:numId w:val="0"/>
              </w:numPr>
              <w:spacing w:after="0"/>
              <w:contextualSpacing/>
              <w:rPr>
                <w:highlight w:val="yellow"/>
              </w:rPr>
            </w:pPr>
            <w:r w:rsidRPr="005C4EE3">
              <w:t>Where maintenance access is provided along the top of the embankment, the minimum width of the top of the embankment</w:t>
            </w:r>
            <w:r w:rsidRPr="005C4EE3" w:rsidDel="005E1AFA">
              <w:t xml:space="preserve"> </w:t>
            </w:r>
            <w:r w:rsidRPr="005C4EE3">
              <w:t>is 15 feet.</w:t>
            </w:r>
          </w:p>
        </w:tc>
      </w:tr>
      <w:tr w:rsidR="00A91CBC" w:rsidRPr="00B36276" w14:paraId="30C0A3DD" w14:textId="77777777" w:rsidTr="00A91CBC">
        <w:trPr>
          <w:trHeight w:val="872"/>
        </w:trPr>
        <w:tc>
          <w:tcPr>
            <w:tcW w:w="720" w:type="dxa"/>
            <w:tcBorders>
              <w:top w:val="single" w:sz="4" w:space="0" w:color="auto"/>
              <w:bottom w:val="single" w:sz="4" w:space="0" w:color="auto"/>
            </w:tcBorders>
            <w:shd w:val="clear" w:color="auto" w:fill="auto"/>
            <w:vAlign w:val="center"/>
          </w:tcPr>
          <w:p w14:paraId="512CA494"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8B2AC8A"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991FDC1" w14:textId="0DF3D73A" w:rsidR="00A91CBC" w:rsidRPr="00A32E7C" w:rsidRDefault="00A91CBC">
            <w:pPr>
              <w:pStyle w:val="Bullet1"/>
              <w:numPr>
                <w:ilvl w:val="0"/>
                <w:numId w:val="0"/>
              </w:numPr>
              <w:spacing w:after="0"/>
              <w:contextualSpacing/>
              <w:rPr>
                <w:highlight w:val="yellow"/>
              </w:rPr>
            </w:pPr>
            <w:r w:rsidRPr="008729E4">
              <w:t xml:space="preserve">Embankments adjacent to a stream or other body of water are sufficiently protected with riprap or bioengineering methods to prevent erosion of the embankment. </w:t>
            </w:r>
          </w:p>
        </w:tc>
      </w:tr>
      <w:tr w:rsidR="00A91CBC" w:rsidRPr="00B36276" w14:paraId="5C252D54" w14:textId="77777777" w:rsidTr="00A91CBC">
        <w:trPr>
          <w:trHeight w:val="20"/>
        </w:trPr>
        <w:tc>
          <w:tcPr>
            <w:tcW w:w="720" w:type="dxa"/>
            <w:tcBorders>
              <w:top w:val="single" w:sz="4" w:space="0" w:color="auto"/>
              <w:bottom w:val="single" w:sz="4" w:space="0" w:color="auto"/>
            </w:tcBorders>
            <w:shd w:val="clear" w:color="auto" w:fill="auto"/>
            <w:vAlign w:val="center"/>
          </w:tcPr>
          <w:p w14:paraId="363A987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0F8943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B5B6456" w14:textId="4030A784" w:rsidR="00A91CBC" w:rsidRPr="00A32E7C" w:rsidRDefault="00A91CBC" w:rsidP="00BA5628">
            <w:pPr>
              <w:pStyle w:val="Bullet1"/>
              <w:numPr>
                <w:ilvl w:val="0"/>
                <w:numId w:val="0"/>
              </w:numPr>
              <w:spacing w:after="0"/>
              <w:contextualSpacing/>
              <w:rPr>
                <w:highlight w:val="yellow"/>
              </w:rPr>
            </w:pPr>
            <w:r w:rsidRPr="008729E4">
              <w:t>Constructed on native consolidated soil (or adequately compacted and stable fill soils analyzed by a geotechnical assessment), which is free of loose surface soil materials, roots and other organic debris.</w:t>
            </w:r>
          </w:p>
        </w:tc>
      </w:tr>
      <w:tr w:rsidR="00A91CBC" w:rsidRPr="00B36276" w14:paraId="10C145C7" w14:textId="77777777" w:rsidTr="00A91CBC">
        <w:trPr>
          <w:trHeight w:val="20"/>
        </w:trPr>
        <w:tc>
          <w:tcPr>
            <w:tcW w:w="720" w:type="dxa"/>
            <w:tcBorders>
              <w:top w:val="single" w:sz="4" w:space="0" w:color="auto"/>
              <w:bottom w:val="single" w:sz="4" w:space="0" w:color="auto"/>
            </w:tcBorders>
            <w:shd w:val="clear" w:color="auto" w:fill="auto"/>
            <w:vAlign w:val="center"/>
          </w:tcPr>
          <w:p w14:paraId="27AD5C7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0C0A55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9947E62" w14:textId="5E947401" w:rsidR="00A91CBC" w:rsidRPr="008729E4" w:rsidRDefault="00A91CBC">
            <w:pPr>
              <w:pStyle w:val="Bullet1"/>
              <w:numPr>
                <w:ilvl w:val="0"/>
                <w:numId w:val="0"/>
              </w:numPr>
              <w:spacing w:after="0"/>
              <w:contextualSpacing/>
              <w:rPr>
                <w:b/>
              </w:rPr>
            </w:pPr>
            <w:r w:rsidRPr="008729E4">
              <w:t>Designed with a “key” equal to 50% of the embankment cross-sectional height and width. In till soils the “key” minimum depth is 1 foot of excavation into the till.</w:t>
            </w:r>
          </w:p>
        </w:tc>
      </w:tr>
      <w:tr w:rsidR="00A91CBC" w:rsidRPr="00B36276" w14:paraId="3CD27DBA" w14:textId="77777777" w:rsidTr="00A91CBC">
        <w:trPr>
          <w:trHeight w:val="863"/>
        </w:trPr>
        <w:tc>
          <w:tcPr>
            <w:tcW w:w="720" w:type="dxa"/>
            <w:tcBorders>
              <w:top w:val="single" w:sz="4" w:space="0" w:color="auto"/>
              <w:bottom w:val="single" w:sz="4" w:space="0" w:color="auto"/>
            </w:tcBorders>
            <w:shd w:val="clear" w:color="auto" w:fill="auto"/>
            <w:vAlign w:val="center"/>
          </w:tcPr>
          <w:p w14:paraId="2B7FC66F"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FEC4D77"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764B077" w14:textId="44B350F8" w:rsidR="00A91CBC" w:rsidRPr="008729E4" w:rsidRDefault="00A91CBC" w:rsidP="00CF2CA9">
            <w:pPr>
              <w:pStyle w:val="Bullet1"/>
              <w:numPr>
                <w:ilvl w:val="0"/>
                <w:numId w:val="0"/>
              </w:numPr>
              <w:spacing w:after="0"/>
              <w:contextualSpacing/>
            </w:pPr>
            <w:r w:rsidRPr="008729E4">
              <w:t>Cores consist of soil compacted to a minimum of 95% of the maximum dry density, standard proctor method per American Society for Testing and Materials [ASTM] D1557).</w:t>
            </w:r>
          </w:p>
        </w:tc>
      </w:tr>
      <w:tr w:rsidR="00A91CBC" w:rsidRPr="00B36276" w14:paraId="0E8BF0F0" w14:textId="77777777" w:rsidTr="00A91CBC">
        <w:trPr>
          <w:trHeight w:val="20"/>
        </w:trPr>
        <w:tc>
          <w:tcPr>
            <w:tcW w:w="720" w:type="dxa"/>
            <w:tcBorders>
              <w:top w:val="single" w:sz="4" w:space="0" w:color="auto"/>
              <w:bottom w:val="single" w:sz="4" w:space="0" w:color="auto"/>
            </w:tcBorders>
            <w:shd w:val="clear" w:color="auto" w:fill="auto"/>
            <w:vAlign w:val="center"/>
          </w:tcPr>
          <w:p w14:paraId="07DE515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6E30091" w14:textId="77777777" w:rsidR="00A91CBC" w:rsidRPr="008729E4"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D99C0F2" w14:textId="00334374" w:rsidR="00A91CBC" w:rsidRPr="008729E4" w:rsidRDefault="00A91CBC" w:rsidP="00BA5628">
            <w:pPr>
              <w:pStyle w:val="Bullet1"/>
              <w:numPr>
                <w:ilvl w:val="0"/>
                <w:numId w:val="0"/>
              </w:numPr>
              <w:spacing w:after="0"/>
              <w:contextualSpacing/>
            </w:pPr>
            <w:r w:rsidRPr="008729E4">
              <w:t>Soil is placed in 6-inch lifts.</w:t>
            </w:r>
          </w:p>
        </w:tc>
      </w:tr>
      <w:tr w:rsidR="00A91CBC" w:rsidRPr="00B36276" w14:paraId="17113D8A" w14:textId="77777777" w:rsidTr="00A91CBC">
        <w:trPr>
          <w:trHeight w:val="20"/>
        </w:trPr>
        <w:tc>
          <w:tcPr>
            <w:tcW w:w="720" w:type="dxa"/>
            <w:tcBorders>
              <w:top w:val="single" w:sz="4" w:space="0" w:color="auto"/>
              <w:bottom w:val="single" w:sz="4" w:space="0" w:color="auto"/>
            </w:tcBorders>
            <w:shd w:val="clear" w:color="auto" w:fill="auto"/>
            <w:vAlign w:val="center"/>
          </w:tcPr>
          <w:p w14:paraId="086E3DC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843BFD4"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A22E0A7" w14:textId="717F6C75" w:rsidR="00A91CBC" w:rsidRPr="00A32E7C" w:rsidRDefault="00A91CBC" w:rsidP="00CF2CA9">
            <w:pPr>
              <w:pStyle w:val="Bullet1"/>
              <w:numPr>
                <w:ilvl w:val="0"/>
                <w:numId w:val="0"/>
              </w:numPr>
              <w:spacing w:after="0"/>
              <w:contextualSpacing/>
              <w:rPr>
                <w:highlight w:val="yellow"/>
              </w:rPr>
            </w:pPr>
            <w:r w:rsidRPr="008729E4">
              <w:t xml:space="preserve">Soil has the following soil characteristics per the USDA’s textural triangle: a minimum of 30% clay, a maximum of 60% sand, a maximum of 60% silt, with nominal gravel and cobble content or as recommended by a geotechnical engineer. </w:t>
            </w:r>
          </w:p>
        </w:tc>
      </w:tr>
      <w:tr w:rsidR="00A91CBC" w:rsidRPr="00B36276" w14:paraId="754C865A" w14:textId="77777777" w:rsidTr="00A91CBC">
        <w:trPr>
          <w:trHeight w:val="305"/>
        </w:trPr>
        <w:tc>
          <w:tcPr>
            <w:tcW w:w="720" w:type="dxa"/>
            <w:tcBorders>
              <w:top w:val="single" w:sz="4" w:space="0" w:color="auto"/>
              <w:bottom w:val="single" w:sz="4" w:space="0" w:color="auto"/>
            </w:tcBorders>
            <w:shd w:val="clear" w:color="auto" w:fill="auto"/>
            <w:vAlign w:val="center"/>
          </w:tcPr>
          <w:p w14:paraId="5703AA1D"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2A20B9A"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DA3F074" w14:textId="36532809" w:rsidR="00A91CBC" w:rsidRPr="008729E4" w:rsidRDefault="00A91CBC" w:rsidP="00BA5628">
            <w:pPr>
              <w:pStyle w:val="Bullet1"/>
              <w:numPr>
                <w:ilvl w:val="0"/>
                <w:numId w:val="0"/>
              </w:numPr>
              <w:spacing w:after="0"/>
              <w:contextualSpacing/>
            </w:pPr>
            <w:r w:rsidRPr="008729E4">
              <w:t>Core is adequate to make the embankment impervious.</w:t>
            </w:r>
          </w:p>
        </w:tc>
      </w:tr>
      <w:tr w:rsidR="00A91CBC" w:rsidRPr="00B36276" w14:paraId="66105B91" w14:textId="77777777" w:rsidTr="00A91CBC">
        <w:trPr>
          <w:trHeight w:val="20"/>
        </w:trPr>
        <w:tc>
          <w:tcPr>
            <w:tcW w:w="720" w:type="dxa"/>
            <w:tcBorders>
              <w:top w:val="single" w:sz="4" w:space="0" w:color="auto"/>
              <w:bottom w:val="single" w:sz="4" w:space="0" w:color="auto"/>
            </w:tcBorders>
            <w:shd w:val="clear" w:color="auto" w:fill="auto"/>
            <w:vAlign w:val="center"/>
          </w:tcPr>
          <w:p w14:paraId="1DE2667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1819C7B"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45CC578" w14:textId="19BE54D2" w:rsidR="00A91CBC" w:rsidRPr="00B53AF9" w:rsidRDefault="00A91CBC">
            <w:pPr>
              <w:pStyle w:val="Bullet1"/>
              <w:numPr>
                <w:ilvl w:val="0"/>
                <w:numId w:val="0"/>
              </w:numPr>
              <w:spacing w:after="0"/>
              <w:contextualSpacing/>
            </w:pPr>
            <w:r w:rsidRPr="00B53AF9">
              <w:t xml:space="preserve">Exposed earth on the pond side slopes are sodded or seeded with appropriate seed mixture </w:t>
            </w:r>
            <w:r w:rsidRPr="00421C3C">
              <w:t>(BMP C120: Temporary and Permanent Seeding)</w:t>
            </w:r>
            <w:r w:rsidRPr="00B53AF9">
              <w:t xml:space="preserve">. </w:t>
            </w:r>
          </w:p>
        </w:tc>
      </w:tr>
      <w:tr w:rsidR="00A91CBC" w:rsidRPr="00B36276" w14:paraId="4D871509" w14:textId="77777777" w:rsidTr="00A91CBC">
        <w:trPr>
          <w:trHeight w:val="20"/>
        </w:trPr>
        <w:tc>
          <w:tcPr>
            <w:tcW w:w="720" w:type="dxa"/>
            <w:tcBorders>
              <w:top w:val="single" w:sz="4" w:space="0" w:color="auto"/>
              <w:bottom w:val="single" w:sz="4" w:space="0" w:color="auto"/>
            </w:tcBorders>
            <w:shd w:val="clear" w:color="auto" w:fill="auto"/>
            <w:vAlign w:val="center"/>
          </w:tcPr>
          <w:p w14:paraId="1D9A9FEB"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FF5ADFF"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F20EF3F" w14:textId="7EAE5434" w:rsidR="00A91CBC" w:rsidRPr="00B53AF9" w:rsidRDefault="00A91CBC" w:rsidP="009571B4">
            <w:pPr>
              <w:pStyle w:val="Bullet1"/>
              <w:numPr>
                <w:ilvl w:val="0"/>
                <w:numId w:val="0"/>
              </w:numPr>
              <w:spacing w:after="0"/>
              <w:contextualSpacing/>
            </w:pPr>
            <w:r w:rsidRPr="00B53AF9">
              <w:t>Vegetative cover is protected and reseeded as necessary.</w:t>
            </w:r>
          </w:p>
        </w:tc>
      </w:tr>
      <w:tr w:rsidR="00A91CBC" w:rsidRPr="00B36276" w14:paraId="3717568A"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0ED51F5E"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2121004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0A13DD24" w14:textId="192F7D6D" w:rsidR="00A91CBC" w:rsidRPr="00A2466C" w:rsidRDefault="00A91CBC" w:rsidP="00421C3C">
            <w:pPr>
              <w:pStyle w:val="Bullet1"/>
              <w:numPr>
                <w:ilvl w:val="0"/>
                <w:numId w:val="0"/>
              </w:numPr>
              <w:spacing w:after="0"/>
              <w:contextualSpacing/>
              <w:jc w:val="center"/>
              <w:rPr>
                <w:b/>
              </w:rPr>
            </w:pPr>
            <w:r>
              <w:rPr>
                <w:b/>
              </w:rPr>
              <w:t>Overflow</w:t>
            </w:r>
          </w:p>
        </w:tc>
      </w:tr>
      <w:tr w:rsidR="00A91CBC" w:rsidRPr="00B36276" w14:paraId="76930C10" w14:textId="77777777" w:rsidTr="00A91CBC">
        <w:trPr>
          <w:trHeight w:val="20"/>
        </w:trPr>
        <w:tc>
          <w:tcPr>
            <w:tcW w:w="720" w:type="dxa"/>
            <w:tcBorders>
              <w:top w:val="single" w:sz="4" w:space="0" w:color="auto"/>
              <w:bottom w:val="single" w:sz="4" w:space="0" w:color="auto"/>
            </w:tcBorders>
            <w:shd w:val="clear" w:color="auto" w:fill="auto"/>
            <w:vAlign w:val="center"/>
          </w:tcPr>
          <w:p w14:paraId="041120EB"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0288C5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E9CF5EB" w14:textId="4BD7E4BD" w:rsidR="00A91CBC" w:rsidRPr="008729E4" w:rsidRDefault="00A91CBC" w:rsidP="009571B4">
            <w:pPr>
              <w:pStyle w:val="Bullet1"/>
              <w:numPr>
                <w:ilvl w:val="0"/>
                <w:numId w:val="0"/>
              </w:numPr>
              <w:spacing w:after="0"/>
              <w:contextualSpacing/>
              <w:rPr>
                <w:b/>
              </w:rPr>
            </w:pPr>
            <w:r w:rsidRPr="008729E4">
              <w:t>A primary overflow is provided to bypass the 100</w:t>
            </w:r>
            <w:r w:rsidRPr="008729E4">
              <w:noBreakHyphen/>
              <w:t xml:space="preserve">year recurrence interval developed peak flow over or around the outlet restrictor system. </w:t>
            </w:r>
          </w:p>
        </w:tc>
      </w:tr>
      <w:tr w:rsidR="00A91CBC" w:rsidRPr="00B36276" w14:paraId="1939555D" w14:textId="77777777" w:rsidTr="00A91CBC">
        <w:trPr>
          <w:trHeight w:val="278"/>
        </w:trPr>
        <w:tc>
          <w:tcPr>
            <w:tcW w:w="720" w:type="dxa"/>
            <w:tcBorders>
              <w:top w:val="single" w:sz="4" w:space="0" w:color="auto"/>
              <w:bottom w:val="single" w:sz="4" w:space="0" w:color="auto"/>
            </w:tcBorders>
            <w:shd w:val="clear" w:color="auto" w:fill="auto"/>
            <w:vAlign w:val="center"/>
          </w:tcPr>
          <w:p w14:paraId="1DEE5B12"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C287A42"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D7FF23C" w14:textId="4EE1477D" w:rsidR="00A91CBC" w:rsidRPr="008729E4" w:rsidRDefault="00A91CBC" w:rsidP="005E1AFA">
            <w:pPr>
              <w:pStyle w:val="Bullet1"/>
              <w:numPr>
                <w:ilvl w:val="0"/>
                <w:numId w:val="0"/>
              </w:numPr>
              <w:spacing w:after="0"/>
              <w:contextualSpacing/>
            </w:pPr>
            <w:r w:rsidRPr="008729E4">
              <w:t>A secondary inlet to the control structure is also provided (as additional</w:t>
            </w:r>
          </w:p>
          <w:p w14:paraId="17E72313" w14:textId="6477738A" w:rsidR="00A91CBC" w:rsidRPr="008729E4" w:rsidRDefault="00A91CBC">
            <w:pPr>
              <w:pStyle w:val="Bullet1"/>
              <w:numPr>
                <w:ilvl w:val="0"/>
                <w:numId w:val="0"/>
              </w:numPr>
              <w:spacing w:after="0"/>
              <w:contextualSpacing/>
            </w:pPr>
            <w:r w:rsidRPr="008729E4">
              <w:t xml:space="preserve">protection against overtopping from a clogged control structure). </w:t>
            </w:r>
          </w:p>
        </w:tc>
      </w:tr>
      <w:tr w:rsidR="00A91CBC" w:rsidRPr="00B36276" w14:paraId="12A3B705" w14:textId="77777777" w:rsidTr="00A91CBC">
        <w:trPr>
          <w:trHeight w:val="179"/>
        </w:trPr>
        <w:tc>
          <w:tcPr>
            <w:tcW w:w="720" w:type="dxa"/>
            <w:tcBorders>
              <w:top w:val="single" w:sz="4" w:space="0" w:color="auto"/>
              <w:bottom w:val="single" w:sz="4" w:space="0" w:color="auto"/>
            </w:tcBorders>
            <w:shd w:val="clear" w:color="auto" w:fill="auto"/>
            <w:vAlign w:val="center"/>
          </w:tcPr>
          <w:p w14:paraId="6FD23DB3" w14:textId="77777777" w:rsidR="00A91CBC" w:rsidRPr="004528EA" w:rsidRDefault="00A91CBC" w:rsidP="00B53AF9">
            <w:pPr>
              <w:contextualSpacing/>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F95FBA1" w14:textId="77777777" w:rsidR="00A91CBC" w:rsidRPr="004528EA" w:rsidRDefault="00A91CBC" w:rsidP="00B53AF9">
            <w:pPr>
              <w:contextualSpacing/>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7E33636" w14:textId="3B33B720" w:rsidR="00A91CBC" w:rsidRPr="00A32E7C" w:rsidRDefault="00A91CBC" w:rsidP="009571B4">
            <w:pPr>
              <w:pStyle w:val="BodyText"/>
              <w:contextualSpacing/>
              <w:jc w:val="left"/>
              <w:rPr>
                <w:b/>
                <w:highlight w:val="yellow"/>
              </w:rPr>
            </w:pPr>
            <w:r w:rsidRPr="008729E4">
              <w:t>Emergency overflow structures are designed with at least 6 inches of freeboard.</w:t>
            </w:r>
          </w:p>
        </w:tc>
      </w:tr>
      <w:tr w:rsidR="00A91CBC" w:rsidRPr="00B36276" w14:paraId="1C623223"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248A68CD"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6CE3416F"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65522BAB" w14:textId="28919C97" w:rsidR="00A91CBC" w:rsidRPr="00421C3C" w:rsidRDefault="00A91CBC" w:rsidP="00421C3C">
            <w:pPr>
              <w:pStyle w:val="Bullet1"/>
              <w:numPr>
                <w:ilvl w:val="0"/>
                <w:numId w:val="0"/>
              </w:numPr>
              <w:spacing w:after="0"/>
              <w:contextualSpacing/>
              <w:jc w:val="center"/>
              <w:rPr>
                <w:b/>
              </w:rPr>
            </w:pPr>
            <w:r>
              <w:rPr>
                <w:b/>
              </w:rPr>
              <w:t>Emergency Overflow Spillway</w:t>
            </w:r>
          </w:p>
        </w:tc>
      </w:tr>
      <w:tr w:rsidR="00A91CBC" w:rsidRPr="005E1AFA" w14:paraId="17B82795" w14:textId="77777777" w:rsidTr="00A91CBC">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12CC9C" w14:textId="77777777" w:rsidR="00A91CBC" w:rsidRPr="005E1AFA" w:rsidRDefault="00A91CBC" w:rsidP="005E1AFA">
            <w:pPr>
              <w:contextualSpacing/>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4025F5" w14:textId="77777777" w:rsidR="00A91CBC" w:rsidRPr="005E1AFA" w:rsidRDefault="00A91CBC" w:rsidP="005E1AFA">
            <w:pPr>
              <w:contextualSpacing/>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3AFD0511" w14:textId="77777777" w:rsidR="00A91CBC" w:rsidRPr="008729E4" w:rsidRDefault="00A91CBC" w:rsidP="005E1AFA">
            <w:pPr>
              <w:pStyle w:val="Bullet1"/>
              <w:numPr>
                <w:ilvl w:val="0"/>
                <w:numId w:val="0"/>
              </w:numPr>
              <w:spacing w:after="0"/>
              <w:contextualSpacing/>
            </w:pPr>
            <w:r w:rsidRPr="008729E4">
              <w:t>For ponds with embankments</w:t>
            </w:r>
            <w:r w:rsidRPr="008729E4" w:rsidDel="005E1AFA">
              <w:t xml:space="preserve"> </w:t>
            </w:r>
            <w:r w:rsidRPr="008729E4">
              <w:t>less than 2 feet in height and located at grades less than 5%, an emergency overflow structure, such as a Type II manhole fitted with a birdcage, or emergency overflow spillway is provided.</w:t>
            </w:r>
          </w:p>
        </w:tc>
      </w:tr>
      <w:tr w:rsidR="00A91CBC" w:rsidRPr="00B36276" w14:paraId="3E6A4526" w14:textId="77777777" w:rsidTr="00A91CBC">
        <w:trPr>
          <w:trHeight w:val="20"/>
        </w:trPr>
        <w:tc>
          <w:tcPr>
            <w:tcW w:w="720" w:type="dxa"/>
            <w:tcBorders>
              <w:top w:val="single" w:sz="4" w:space="0" w:color="auto"/>
              <w:bottom w:val="single" w:sz="4" w:space="0" w:color="auto"/>
            </w:tcBorders>
            <w:shd w:val="clear" w:color="auto" w:fill="auto"/>
            <w:vAlign w:val="center"/>
          </w:tcPr>
          <w:p w14:paraId="5BB514C8"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CEB2E1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5544F11" w14:textId="6E2E115D" w:rsidR="00A91CBC" w:rsidRPr="00A32E7C" w:rsidRDefault="00A91CBC" w:rsidP="005E1AFA">
            <w:pPr>
              <w:pStyle w:val="Bullet1"/>
              <w:numPr>
                <w:ilvl w:val="0"/>
                <w:numId w:val="0"/>
              </w:numPr>
              <w:spacing w:after="0"/>
              <w:contextualSpacing/>
              <w:rPr>
                <w:highlight w:val="yellow"/>
              </w:rPr>
            </w:pPr>
            <w:r w:rsidRPr="008729E4">
              <w:t>For ponds with constructed embankments</w:t>
            </w:r>
            <w:r w:rsidRPr="008729E4" w:rsidDel="005E1AFA">
              <w:t xml:space="preserve"> </w:t>
            </w:r>
            <w:r w:rsidRPr="008729E4">
              <w:t xml:space="preserve">over 2 feet in height, or for ponds located on grades </w:t>
            </w:r>
            <w:r w:rsidR="00EB58A7" w:rsidRPr="008729E4">
              <w:t>more than</w:t>
            </w:r>
            <w:r w:rsidRPr="008729E4">
              <w:t xml:space="preserve"> 5%, an emergency overflow spillway is provided. </w:t>
            </w:r>
          </w:p>
        </w:tc>
      </w:tr>
      <w:tr w:rsidR="00A91CBC" w:rsidRPr="00B36276" w14:paraId="7C5B2381" w14:textId="77777777" w:rsidTr="00A91CBC">
        <w:trPr>
          <w:trHeight w:val="20"/>
        </w:trPr>
        <w:tc>
          <w:tcPr>
            <w:tcW w:w="720" w:type="dxa"/>
            <w:tcBorders>
              <w:top w:val="single" w:sz="4" w:space="0" w:color="auto"/>
              <w:bottom w:val="single" w:sz="4" w:space="0" w:color="auto"/>
            </w:tcBorders>
            <w:shd w:val="clear" w:color="auto" w:fill="auto"/>
            <w:vAlign w:val="center"/>
          </w:tcPr>
          <w:p w14:paraId="6D84D0FB"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B52180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770C5A5" w14:textId="4A051958" w:rsidR="00A91CBC" w:rsidRPr="008729E4" w:rsidRDefault="00A91CBC" w:rsidP="009571B4">
            <w:pPr>
              <w:pStyle w:val="Bullet1"/>
              <w:numPr>
                <w:ilvl w:val="0"/>
                <w:numId w:val="0"/>
              </w:numPr>
              <w:spacing w:after="0"/>
              <w:contextualSpacing/>
            </w:pPr>
            <w:r w:rsidRPr="008729E4">
              <w:t xml:space="preserve">For impoundments of 10 acre-feet or greater, the emergency overflow spillway meets the state’s dam safety requirements. </w:t>
            </w:r>
          </w:p>
        </w:tc>
      </w:tr>
      <w:tr w:rsidR="00A91CBC" w:rsidRPr="00B36276" w14:paraId="682A0257" w14:textId="77777777" w:rsidTr="00A91CBC">
        <w:trPr>
          <w:trHeight w:val="20"/>
        </w:trPr>
        <w:tc>
          <w:tcPr>
            <w:tcW w:w="720" w:type="dxa"/>
            <w:tcBorders>
              <w:top w:val="single" w:sz="4" w:space="0" w:color="auto"/>
              <w:bottom w:val="single" w:sz="4" w:space="0" w:color="auto"/>
            </w:tcBorders>
            <w:shd w:val="clear" w:color="auto" w:fill="auto"/>
            <w:vAlign w:val="center"/>
          </w:tcPr>
          <w:p w14:paraId="372FDE38"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26CEE1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7F61FAC" w14:textId="560C8475" w:rsidR="00A91CBC" w:rsidRPr="008729E4" w:rsidRDefault="00A91CBC" w:rsidP="00BA5628">
            <w:pPr>
              <w:pStyle w:val="Bullet1"/>
              <w:numPr>
                <w:ilvl w:val="0"/>
                <w:numId w:val="0"/>
              </w:numPr>
              <w:spacing w:after="0"/>
              <w:contextualSpacing/>
            </w:pPr>
            <w:r w:rsidRPr="008729E4">
              <w:t>For impoundments less than 10 acre-feet, the emergency overflow spillways are sized to pass the 100</w:t>
            </w:r>
            <w:r w:rsidRPr="008729E4">
              <w:noBreakHyphen/>
              <w:t>year recurrence interval developed peak flow in the event of total control structure failure (e.g., blockage of the control structure outlet pipe) or extreme inflows.</w:t>
            </w:r>
          </w:p>
        </w:tc>
      </w:tr>
      <w:tr w:rsidR="00A91CBC" w:rsidRPr="00B36276" w14:paraId="508BD9BC" w14:textId="77777777" w:rsidTr="00A91CBC">
        <w:trPr>
          <w:trHeight w:val="20"/>
        </w:trPr>
        <w:tc>
          <w:tcPr>
            <w:tcW w:w="720" w:type="dxa"/>
            <w:tcBorders>
              <w:top w:val="single" w:sz="4" w:space="0" w:color="auto"/>
              <w:bottom w:val="single" w:sz="4" w:space="0" w:color="auto"/>
            </w:tcBorders>
            <w:shd w:val="clear" w:color="auto" w:fill="auto"/>
            <w:vAlign w:val="center"/>
          </w:tcPr>
          <w:p w14:paraId="06DEA63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69BF66F"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849C15D" w14:textId="00161D5D" w:rsidR="00A91CBC" w:rsidRPr="00E24A09" w:rsidRDefault="00A91CBC" w:rsidP="00421C3C">
            <w:pPr>
              <w:pStyle w:val="Bullet1"/>
              <w:numPr>
                <w:ilvl w:val="0"/>
                <w:numId w:val="0"/>
              </w:numPr>
              <w:spacing w:after="0"/>
              <w:contextualSpacing/>
            </w:pPr>
            <w:r>
              <w:t>The entire width of the spillway is armored</w:t>
            </w:r>
            <w:r w:rsidRPr="00D74C2E">
              <w:t xml:space="preserve"> with riprap in </w:t>
            </w:r>
            <w:r w:rsidRPr="004528EA">
              <w:t>conformance with BMP C209: Outlet Protection in Volume II</w:t>
            </w:r>
            <w:r>
              <w:t>.</w:t>
            </w:r>
          </w:p>
        </w:tc>
      </w:tr>
      <w:tr w:rsidR="00A91CBC" w:rsidRPr="00B36276" w14:paraId="57D2992D" w14:textId="77777777" w:rsidTr="00A91CBC">
        <w:trPr>
          <w:trHeight w:val="179"/>
        </w:trPr>
        <w:tc>
          <w:tcPr>
            <w:tcW w:w="720" w:type="dxa"/>
            <w:tcBorders>
              <w:top w:val="single" w:sz="4" w:space="0" w:color="auto"/>
              <w:bottom w:val="single" w:sz="4" w:space="0" w:color="auto"/>
            </w:tcBorders>
            <w:shd w:val="clear" w:color="auto" w:fill="auto"/>
            <w:vAlign w:val="center"/>
          </w:tcPr>
          <w:p w14:paraId="1E116E28" w14:textId="77777777" w:rsidR="00A91CBC" w:rsidRPr="009571B4" w:rsidRDefault="00A91CBC" w:rsidP="009571B4">
            <w:pPr>
              <w:contextualSpacing/>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DBBA623" w14:textId="77777777" w:rsidR="00A91CBC" w:rsidRPr="0081158A" w:rsidRDefault="00A91CBC" w:rsidP="009571B4">
            <w:pPr>
              <w:contextualSpacing/>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2E149A2" w14:textId="222D1E96" w:rsidR="00A91CBC" w:rsidRPr="008729E4" w:rsidRDefault="00A91CBC" w:rsidP="00421C3C">
            <w:pPr>
              <w:pStyle w:val="Bullet1"/>
              <w:numPr>
                <w:ilvl w:val="0"/>
                <w:numId w:val="0"/>
              </w:numPr>
              <w:spacing w:after="0"/>
              <w:contextualSpacing/>
            </w:pPr>
            <w:r w:rsidRPr="008729E4">
              <w:t>Designs are analyzed as broad-crested trapezoidal weirs.</w:t>
            </w:r>
          </w:p>
        </w:tc>
      </w:tr>
      <w:tr w:rsidR="00A91CBC" w:rsidRPr="00B36276" w14:paraId="7CBF70E5" w14:textId="77777777" w:rsidTr="00A91CBC">
        <w:trPr>
          <w:trHeight w:val="179"/>
        </w:trPr>
        <w:tc>
          <w:tcPr>
            <w:tcW w:w="720" w:type="dxa"/>
            <w:tcBorders>
              <w:top w:val="single" w:sz="4" w:space="0" w:color="auto"/>
              <w:bottom w:val="single" w:sz="4" w:space="0" w:color="auto"/>
            </w:tcBorders>
            <w:shd w:val="clear" w:color="auto" w:fill="auto"/>
            <w:vAlign w:val="center"/>
          </w:tcPr>
          <w:p w14:paraId="39ED99AD" w14:textId="77777777" w:rsidR="00A91CBC" w:rsidRPr="009571B4" w:rsidRDefault="00A91CBC" w:rsidP="009571B4">
            <w:pPr>
              <w:contextualSpacing/>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B2D5C95" w14:textId="77777777" w:rsidR="00A91CBC" w:rsidRPr="0081158A" w:rsidRDefault="00A91CBC" w:rsidP="009571B4">
            <w:pPr>
              <w:contextualSpacing/>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645BF0F" w14:textId="5E16AAD7" w:rsidR="00A91CBC" w:rsidRPr="00A32E7C" w:rsidRDefault="00A91CBC" w:rsidP="00421C3C">
            <w:pPr>
              <w:pStyle w:val="Bullet1"/>
              <w:numPr>
                <w:ilvl w:val="0"/>
                <w:numId w:val="0"/>
              </w:numPr>
              <w:spacing w:after="0"/>
              <w:contextualSpacing/>
              <w:rPr>
                <w:rFonts w:ascii="Arial" w:hAnsi="Arial"/>
                <w:highlight w:val="yellow"/>
              </w:rPr>
            </w:pPr>
            <w:r w:rsidRPr="008729E4">
              <w:t>The spillway is designed with at least 1 foot of freeboard.</w:t>
            </w:r>
          </w:p>
        </w:tc>
      </w:tr>
      <w:tr w:rsidR="00A91CBC" w:rsidRPr="00B36276" w14:paraId="0AFFE030"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4B36A287"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0A05F734"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7FFFD0C6" w14:textId="77777777" w:rsidR="00A91CBC" w:rsidRDefault="00A91CBC" w:rsidP="00B53AF9">
            <w:pPr>
              <w:pStyle w:val="Bullet1"/>
              <w:numPr>
                <w:ilvl w:val="0"/>
                <w:numId w:val="0"/>
              </w:numPr>
              <w:spacing w:after="0"/>
              <w:contextualSpacing/>
              <w:jc w:val="center"/>
              <w:rPr>
                <w:b/>
              </w:rPr>
            </w:pPr>
            <w:r w:rsidRPr="00834B1C">
              <w:rPr>
                <w:b/>
              </w:rPr>
              <w:t>Control Structures</w:t>
            </w:r>
          </w:p>
          <w:p w14:paraId="21E9376C" w14:textId="7BC8D639" w:rsidR="00A91CBC" w:rsidRPr="00421C3C" w:rsidRDefault="00A91CBC" w:rsidP="00B53AF9">
            <w:pPr>
              <w:pStyle w:val="Bullet1"/>
              <w:numPr>
                <w:ilvl w:val="0"/>
                <w:numId w:val="0"/>
              </w:numPr>
              <w:spacing w:after="0"/>
              <w:contextualSpacing/>
              <w:jc w:val="center"/>
            </w:pPr>
          </w:p>
        </w:tc>
      </w:tr>
      <w:tr w:rsidR="00A91CBC" w:rsidRPr="00B36276" w14:paraId="2FF07E69" w14:textId="77777777" w:rsidTr="00A91CBC">
        <w:trPr>
          <w:trHeight w:val="20"/>
        </w:trPr>
        <w:tc>
          <w:tcPr>
            <w:tcW w:w="720" w:type="dxa"/>
            <w:tcBorders>
              <w:top w:val="single" w:sz="4" w:space="0" w:color="auto"/>
              <w:bottom w:val="single" w:sz="4" w:space="0" w:color="auto"/>
            </w:tcBorders>
            <w:shd w:val="clear" w:color="auto" w:fill="F2F2F2" w:themeFill="background1" w:themeFillShade="F2"/>
            <w:vAlign w:val="center"/>
          </w:tcPr>
          <w:p w14:paraId="0F46A52B"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F2F2F2" w:themeFill="background1" w:themeFillShade="F2"/>
          </w:tcPr>
          <w:p w14:paraId="243B16D9"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F2F2F2" w:themeFill="background1" w:themeFillShade="F2"/>
          </w:tcPr>
          <w:p w14:paraId="09E84D77" w14:textId="77777777" w:rsidR="00A91CBC" w:rsidRPr="00C27360" w:rsidRDefault="00A91CBC" w:rsidP="00B53AF9">
            <w:pPr>
              <w:pStyle w:val="Bullet1"/>
              <w:numPr>
                <w:ilvl w:val="0"/>
                <w:numId w:val="0"/>
              </w:numPr>
              <w:spacing w:after="0"/>
              <w:contextualSpacing/>
              <w:jc w:val="center"/>
            </w:pPr>
            <w:r w:rsidRPr="00834B1C">
              <w:rPr>
                <w:b/>
              </w:rPr>
              <w:t>Multiple Orifice Restrictor</w:t>
            </w:r>
          </w:p>
        </w:tc>
      </w:tr>
      <w:tr w:rsidR="00A91CBC" w:rsidRPr="00B36276" w14:paraId="0AB775C4" w14:textId="77777777" w:rsidTr="00A91CBC">
        <w:trPr>
          <w:trHeight w:val="20"/>
        </w:trPr>
        <w:tc>
          <w:tcPr>
            <w:tcW w:w="720" w:type="dxa"/>
            <w:tcBorders>
              <w:top w:val="single" w:sz="4" w:space="0" w:color="auto"/>
              <w:bottom w:val="single" w:sz="4" w:space="0" w:color="auto"/>
            </w:tcBorders>
            <w:shd w:val="clear" w:color="auto" w:fill="auto"/>
            <w:vAlign w:val="center"/>
          </w:tcPr>
          <w:p w14:paraId="645DD1CC"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E466336"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D59023B" w14:textId="1C211EB7" w:rsidR="00A91CBC" w:rsidRPr="00A32E7C" w:rsidRDefault="00A91CBC" w:rsidP="00B53AF9">
            <w:pPr>
              <w:pStyle w:val="Bullet1"/>
              <w:numPr>
                <w:ilvl w:val="0"/>
                <w:numId w:val="0"/>
              </w:numPr>
              <w:spacing w:after="0"/>
              <w:contextualSpacing/>
              <w:rPr>
                <w:highlight w:val="yellow"/>
              </w:rPr>
            </w:pPr>
            <w:r w:rsidRPr="004B3757">
              <w:t>Minimum orifice diameter is 0.5 inches (unless a smaller diameter is permitted</w:t>
            </w:r>
            <w:r w:rsidR="004B3757">
              <w:t xml:space="preserve"> </w:t>
            </w:r>
            <w:r w:rsidRPr="004B3757">
              <w:t xml:space="preserve">per </w:t>
            </w:r>
            <w:r w:rsidR="004B3757" w:rsidRPr="004B3757">
              <w:t>Appendix V-A</w:t>
            </w:r>
            <w:r w:rsidRPr="004B3757">
              <w:t>).</w:t>
            </w:r>
          </w:p>
        </w:tc>
      </w:tr>
      <w:tr w:rsidR="00A91CBC" w:rsidRPr="00B36276" w14:paraId="32D30D41" w14:textId="77777777" w:rsidTr="00A91CBC">
        <w:trPr>
          <w:trHeight w:val="20"/>
        </w:trPr>
        <w:tc>
          <w:tcPr>
            <w:tcW w:w="720" w:type="dxa"/>
            <w:tcBorders>
              <w:top w:val="single" w:sz="4" w:space="0" w:color="auto"/>
              <w:bottom w:val="single" w:sz="4" w:space="0" w:color="auto"/>
            </w:tcBorders>
            <w:shd w:val="clear" w:color="auto" w:fill="F2F2F2" w:themeFill="background1" w:themeFillShade="F2"/>
            <w:vAlign w:val="center"/>
          </w:tcPr>
          <w:p w14:paraId="35C0C569"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F2F2F2" w:themeFill="background1" w:themeFillShade="F2"/>
          </w:tcPr>
          <w:p w14:paraId="3F620DF5"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F2F2F2" w:themeFill="background1" w:themeFillShade="F2"/>
          </w:tcPr>
          <w:p w14:paraId="2FBE4E6A" w14:textId="77777777" w:rsidR="00A91CBC" w:rsidRPr="00834B1C" w:rsidRDefault="00A91CBC" w:rsidP="00B53AF9">
            <w:pPr>
              <w:pStyle w:val="Bullet1"/>
              <w:numPr>
                <w:ilvl w:val="0"/>
                <w:numId w:val="0"/>
              </w:numPr>
              <w:spacing w:after="0"/>
              <w:contextualSpacing/>
              <w:jc w:val="center"/>
              <w:rPr>
                <w:b/>
              </w:rPr>
            </w:pPr>
            <w:r w:rsidRPr="00834B1C">
              <w:rPr>
                <w:b/>
              </w:rPr>
              <w:t>Riser and Weir Restrictor</w:t>
            </w:r>
          </w:p>
        </w:tc>
      </w:tr>
      <w:tr w:rsidR="00A91CBC" w:rsidRPr="00B36276" w14:paraId="6412186F" w14:textId="77777777" w:rsidTr="00A91CBC">
        <w:trPr>
          <w:trHeight w:val="20"/>
        </w:trPr>
        <w:tc>
          <w:tcPr>
            <w:tcW w:w="720" w:type="dxa"/>
            <w:tcBorders>
              <w:top w:val="single" w:sz="4" w:space="0" w:color="auto"/>
              <w:bottom w:val="single" w:sz="4" w:space="0" w:color="auto"/>
            </w:tcBorders>
            <w:shd w:val="clear" w:color="auto" w:fill="auto"/>
            <w:vAlign w:val="center"/>
          </w:tcPr>
          <w:p w14:paraId="34CC8930"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5B7D18D"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29187C3" w14:textId="6A650562" w:rsidR="00A91CBC" w:rsidRPr="00A32E7C" w:rsidRDefault="00A91CBC" w:rsidP="00B53AF9">
            <w:pPr>
              <w:pStyle w:val="Bullet1"/>
              <w:numPr>
                <w:ilvl w:val="0"/>
                <w:numId w:val="0"/>
              </w:numPr>
              <w:spacing w:after="0"/>
              <w:contextualSpacing/>
              <w:rPr>
                <w:highlight w:val="yellow"/>
              </w:rPr>
            </w:pPr>
            <w:r w:rsidRPr="004B3757">
              <w:t>Designed to convey the developed 100</w:t>
            </w:r>
            <w:r w:rsidRPr="004B3757">
              <w:noBreakHyphen/>
              <w:t>year recurrence interval peak flow assuming all orifices are plugged</w:t>
            </w:r>
            <w:r w:rsidR="004B3757" w:rsidRPr="004B3757">
              <w:t xml:space="preserve"> (see Appendix V-A)</w:t>
            </w:r>
            <w:r w:rsidRPr="004B3757">
              <w:t xml:space="preserve">. </w:t>
            </w:r>
          </w:p>
        </w:tc>
      </w:tr>
      <w:tr w:rsidR="00A91CBC" w:rsidRPr="00B36276" w14:paraId="1F77E5BB" w14:textId="77777777" w:rsidTr="00A91CBC">
        <w:trPr>
          <w:trHeight w:val="179"/>
        </w:trPr>
        <w:tc>
          <w:tcPr>
            <w:tcW w:w="720" w:type="dxa"/>
            <w:tcBorders>
              <w:top w:val="single" w:sz="4" w:space="0" w:color="auto"/>
              <w:bottom w:val="single" w:sz="4" w:space="0" w:color="auto"/>
            </w:tcBorders>
            <w:shd w:val="clear" w:color="auto" w:fill="DBE5F1" w:themeFill="accent1" w:themeFillTint="33"/>
            <w:vAlign w:val="center"/>
          </w:tcPr>
          <w:p w14:paraId="5BB657B5"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7D4FB06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752ECCE8" w14:textId="291EFCE7" w:rsidR="00A91CBC" w:rsidRPr="00502A35" w:rsidRDefault="00A91CBC" w:rsidP="00BA5628">
            <w:pPr>
              <w:pStyle w:val="BodyText"/>
              <w:contextualSpacing/>
              <w:jc w:val="center"/>
              <w:rPr>
                <w:b/>
              </w:rPr>
            </w:pPr>
            <w:r w:rsidRPr="00502A35">
              <w:rPr>
                <w:b/>
              </w:rPr>
              <w:t>Access Roads</w:t>
            </w:r>
          </w:p>
        </w:tc>
      </w:tr>
      <w:tr w:rsidR="00A91CBC" w:rsidRPr="00B36276" w14:paraId="5644C459" w14:textId="77777777" w:rsidTr="00A91CBC">
        <w:trPr>
          <w:trHeight w:val="20"/>
        </w:trPr>
        <w:tc>
          <w:tcPr>
            <w:tcW w:w="720" w:type="dxa"/>
            <w:tcBorders>
              <w:top w:val="single" w:sz="4" w:space="0" w:color="auto"/>
              <w:bottom w:val="single" w:sz="4" w:space="0" w:color="auto"/>
            </w:tcBorders>
            <w:shd w:val="clear" w:color="auto" w:fill="auto"/>
            <w:vAlign w:val="center"/>
          </w:tcPr>
          <w:p w14:paraId="765A02F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6304824"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54C96DF" w14:textId="0291792B" w:rsidR="00A91CBC" w:rsidRPr="003A50EA" w:rsidRDefault="00A91CBC" w:rsidP="005915DE">
            <w:pPr>
              <w:pStyle w:val="BodyText"/>
              <w:contextualSpacing/>
            </w:pPr>
            <w:r w:rsidRPr="003A50EA">
              <w:t xml:space="preserve">Access roads are provided to the control structure(s) and around the complete perimeter of the pond (unless otherwise approved by the </w:t>
            </w:r>
            <w:r w:rsidR="00A32E7C" w:rsidRPr="003A50EA">
              <w:t>C</w:t>
            </w:r>
            <w:r w:rsidRPr="003A50EA">
              <w:t xml:space="preserve">ounty). </w:t>
            </w:r>
          </w:p>
        </w:tc>
      </w:tr>
      <w:tr w:rsidR="00A91CBC" w:rsidRPr="00B36276" w14:paraId="2B47D4BE" w14:textId="77777777" w:rsidTr="00A91CBC">
        <w:trPr>
          <w:trHeight w:val="1142"/>
        </w:trPr>
        <w:tc>
          <w:tcPr>
            <w:tcW w:w="720" w:type="dxa"/>
            <w:tcBorders>
              <w:top w:val="single" w:sz="4" w:space="0" w:color="auto"/>
              <w:bottom w:val="single" w:sz="4" w:space="0" w:color="auto"/>
            </w:tcBorders>
            <w:shd w:val="clear" w:color="auto" w:fill="auto"/>
            <w:vAlign w:val="center"/>
          </w:tcPr>
          <w:p w14:paraId="3A0622E2"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875159D"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ECAF5E2" w14:textId="2595BA06" w:rsidR="00A91CBC" w:rsidRPr="00A32E7C" w:rsidRDefault="00A91CBC" w:rsidP="00421C3C">
            <w:pPr>
              <w:pStyle w:val="BodyText"/>
              <w:contextualSpacing/>
              <w:jc w:val="left"/>
              <w:rPr>
                <w:highlight w:val="yellow"/>
              </w:rPr>
            </w:pPr>
            <w:r w:rsidRPr="003A50EA">
              <w:t xml:space="preserve">Pond access roads are located in the same tracts when the ponds themselves are in tracts, or in the open space when the pond is also located in open space and the access roads are constructed </w:t>
            </w:r>
            <w:r w:rsidR="00EB58A7" w:rsidRPr="003A50EA">
              <w:t>to</w:t>
            </w:r>
            <w:r w:rsidRPr="003A50EA">
              <w:t xml:space="preserve"> be aesthetically compatible with the open space use.</w:t>
            </w:r>
          </w:p>
        </w:tc>
      </w:tr>
      <w:tr w:rsidR="00A91CBC" w:rsidRPr="00B36276" w14:paraId="3DBB604D" w14:textId="77777777" w:rsidTr="00A91CBC">
        <w:trPr>
          <w:trHeight w:val="287"/>
        </w:trPr>
        <w:tc>
          <w:tcPr>
            <w:tcW w:w="720" w:type="dxa"/>
            <w:tcBorders>
              <w:top w:val="single" w:sz="4" w:space="0" w:color="auto"/>
              <w:bottom w:val="single" w:sz="4" w:space="0" w:color="auto"/>
            </w:tcBorders>
            <w:shd w:val="clear" w:color="auto" w:fill="auto"/>
            <w:vAlign w:val="center"/>
          </w:tcPr>
          <w:p w14:paraId="056B821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869E45A"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16A152E" w14:textId="70DF17F3" w:rsidR="00A91CBC" w:rsidRPr="003A50EA" w:rsidRDefault="00A91CBC" w:rsidP="00421C3C">
            <w:pPr>
              <w:pStyle w:val="BodyText"/>
              <w:contextualSpacing/>
            </w:pPr>
            <w:r w:rsidRPr="003A50EA">
              <w:t>Access roads to structures and pond are a minimum of 15 feet in width.</w:t>
            </w:r>
          </w:p>
        </w:tc>
      </w:tr>
      <w:tr w:rsidR="00A91CBC" w:rsidRPr="00B36276" w14:paraId="34244CBA" w14:textId="77777777" w:rsidTr="00A91CBC">
        <w:trPr>
          <w:trHeight w:val="20"/>
        </w:trPr>
        <w:tc>
          <w:tcPr>
            <w:tcW w:w="720" w:type="dxa"/>
            <w:tcBorders>
              <w:top w:val="single" w:sz="4" w:space="0" w:color="auto"/>
              <w:bottom w:val="single" w:sz="4" w:space="0" w:color="auto"/>
            </w:tcBorders>
            <w:shd w:val="clear" w:color="auto" w:fill="auto"/>
            <w:vAlign w:val="center"/>
          </w:tcPr>
          <w:p w14:paraId="632F43FA"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74FCA81"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B1873EE" w14:textId="46EE64E9" w:rsidR="00A91CBC" w:rsidRPr="00F84C8B" w:rsidRDefault="00A91CBC" w:rsidP="00BA5628">
            <w:pPr>
              <w:pStyle w:val="BodyText"/>
              <w:contextualSpacing/>
            </w:pPr>
            <w:r w:rsidRPr="00F84C8B">
              <w:t>Perimeter roads are a minimum of 12 feet in width.</w:t>
            </w:r>
          </w:p>
        </w:tc>
      </w:tr>
      <w:tr w:rsidR="00A91CBC" w:rsidRPr="00B36276" w14:paraId="3B2A0E76" w14:textId="77777777" w:rsidTr="00A91CBC">
        <w:trPr>
          <w:trHeight w:val="20"/>
        </w:trPr>
        <w:tc>
          <w:tcPr>
            <w:tcW w:w="720" w:type="dxa"/>
            <w:tcBorders>
              <w:top w:val="single" w:sz="4" w:space="0" w:color="auto"/>
              <w:bottom w:val="single" w:sz="4" w:space="0" w:color="auto"/>
            </w:tcBorders>
            <w:shd w:val="clear" w:color="auto" w:fill="auto"/>
            <w:vAlign w:val="center"/>
          </w:tcPr>
          <w:p w14:paraId="1C62223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BC7527F"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8B4CD05" w14:textId="168CD241" w:rsidR="00A91CBC" w:rsidRPr="003A50EA" w:rsidRDefault="00A91CBC" w:rsidP="005915DE">
            <w:pPr>
              <w:pStyle w:val="BodyText"/>
              <w:contextualSpacing/>
            </w:pPr>
            <w:r w:rsidRPr="003A50EA">
              <w:t>Access roads to pond are asphalt, gravel surface, or modular pavers.</w:t>
            </w:r>
          </w:p>
        </w:tc>
      </w:tr>
      <w:tr w:rsidR="00A91CBC" w:rsidRPr="00B36276" w14:paraId="67E07615" w14:textId="77777777" w:rsidTr="00A91CBC">
        <w:trPr>
          <w:trHeight w:val="20"/>
        </w:trPr>
        <w:tc>
          <w:tcPr>
            <w:tcW w:w="720" w:type="dxa"/>
            <w:tcBorders>
              <w:top w:val="single" w:sz="4" w:space="0" w:color="auto"/>
              <w:bottom w:val="single" w:sz="4" w:space="0" w:color="auto"/>
            </w:tcBorders>
            <w:shd w:val="clear" w:color="auto" w:fill="auto"/>
            <w:vAlign w:val="center"/>
          </w:tcPr>
          <w:p w14:paraId="46D5520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0B7B97F"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353FB67" w14:textId="4DECC611" w:rsidR="00A91CBC" w:rsidRPr="00F84C8B" w:rsidRDefault="00A91CBC">
            <w:pPr>
              <w:pStyle w:val="BodyText"/>
              <w:contextualSpacing/>
            </w:pPr>
            <w:r w:rsidRPr="00F84C8B">
              <w:t>Access roads to structures and pond have an inside radius of at least 40 feet.</w:t>
            </w:r>
          </w:p>
        </w:tc>
      </w:tr>
      <w:tr w:rsidR="00A91CBC" w:rsidRPr="00B36276" w14:paraId="07450571" w14:textId="77777777" w:rsidTr="00A91CBC">
        <w:trPr>
          <w:trHeight w:val="20"/>
        </w:trPr>
        <w:tc>
          <w:tcPr>
            <w:tcW w:w="720" w:type="dxa"/>
            <w:tcBorders>
              <w:top w:val="single" w:sz="4" w:space="0" w:color="auto"/>
              <w:bottom w:val="single" w:sz="4" w:space="0" w:color="auto"/>
            </w:tcBorders>
            <w:shd w:val="clear" w:color="auto" w:fill="auto"/>
            <w:vAlign w:val="center"/>
          </w:tcPr>
          <w:p w14:paraId="3C138902"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47BE43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FEF3806" w14:textId="5F6DA57D" w:rsidR="00A91CBC" w:rsidRPr="00A32E7C" w:rsidRDefault="00F84C8B" w:rsidP="00CF2CA9">
            <w:pPr>
              <w:pStyle w:val="BodyText"/>
              <w:contextualSpacing/>
              <w:rPr>
                <w:highlight w:val="yellow"/>
              </w:rPr>
            </w:pPr>
            <w:r>
              <w:t>Access road to control structures have maximum slope of 12%.</w:t>
            </w:r>
          </w:p>
        </w:tc>
      </w:tr>
      <w:tr w:rsidR="00A91CBC" w:rsidRPr="00B36276" w14:paraId="46665378" w14:textId="77777777" w:rsidTr="00A91CBC">
        <w:trPr>
          <w:trHeight w:val="20"/>
        </w:trPr>
        <w:tc>
          <w:tcPr>
            <w:tcW w:w="720" w:type="dxa"/>
            <w:tcBorders>
              <w:top w:val="single" w:sz="4" w:space="0" w:color="auto"/>
              <w:bottom w:val="single" w:sz="4" w:space="0" w:color="auto"/>
            </w:tcBorders>
            <w:shd w:val="clear" w:color="auto" w:fill="auto"/>
            <w:vAlign w:val="center"/>
          </w:tcPr>
          <w:p w14:paraId="3B6CFFF2"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FA3B9D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71E09AF" w14:textId="324C8656" w:rsidR="00A91CBC" w:rsidRPr="00A32E7C" w:rsidRDefault="00A91CBC" w:rsidP="00BA5628">
            <w:pPr>
              <w:pStyle w:val="BodyText"/>
              <w:contextualSpacing/>
              <w:rPr>
                <w:highlight w:val="yellow"/>
              </w:rPr>
            </w:pPr>
            <w:r w:rsidRPr="003A50EA">
              <w:t>Paved aprons are provided where access roads connect to paved public roadways.</w:t>
            </w:r>
          </w:p>
        </w:tc>
      </w:tr>
      <w:tr w:rsidR="00A91CBC" w:rsidRPr="00B36276" w14:paraId="3D9331EC" w14:textId="77777777" w:rsidTr="00A91CBC">
        <w:trPr>
          <w:trHeight w:val="20"/>
        </w:trPr>
        <w:tc>
          <w:tcPr>
            <w:tcW w:w="720" w:type="dxa"/>
            <w:tcBorders>
              <w:top w:val="single" w:sz="4" w:space="0" w:color="auto"/>
              <w:bottom w:val="single" w:sz="4" w:space="0" w:color="auto"/>
            </w:tcBorders>
            <w:shd w:val="clear" w:color="auto" w:fill="auto"/>
            <w:vAlign w:val="center"/>
          </w:tcPr>
          <w:p w14:paraId="24B0D3A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EB4578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78FAAAA" w14:textId="3CCA514E" w:rsidR="00A91CBC" w:rsidRPr="004B3757" w:rsidRDefault="00A91CBC" w:rsidP="00BA5628">
            <w:pPr>
              <w:pStyle w:val="BodyText"/>
              <w:contextualSpacing/>
            </w:pPr>
            <w:r w:rsidRPr="004B3757">
              <w:t>Manhole and catch basin lids are located in or at the edge of the access road and at least 3 feet from a property line.</w:t>
            </w:r>
          </w:p>
        </w:tc>
      </w:tr>
      <w:tr w:rsidR="00A91CBC" w:rsidRPr="00B36276" w14:paraId="0F94FEA9" w14:textId="77777777" w:rsidTr="00A91CBC">
        <w:trPr>
          <w:trHeight w:val="881"/>
        </w:trPr>
        <w:tc>
          <w:tcPr>
            <w:tcW w:w="720" w:type="dxa"/>
            <w:tcBorders>
              <w:top w:val="single" w:sz="4" w:space="0" w:color="auto"/>
              <w:bottom w:val="single" w:sz="4" w:space="0" w:color="auto"/>
            </w:tcBorders>
            <w:shd w:val="clear" w:color="auto" w:fill="auto"/>
            <w:vAlign w:val="center"/>
          </w:tcPr>
          <w:p w14:paraId="515A5163"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0F11966"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C68125C" w14:textId="7B3F4314" w:rsidR="00A91CBC" w:rsidRPr="00F84C8B" w:rsidRDefault="00A91CBC" w:rsidP="00421C3C">
            <w:pPr>
              <w:pStyle w:val="BodyText"/>
              <w:contextualSpacing/>
            </w:pPr>
            <w:r w:rsidRPr="00F84C8B">
              <w:t>For pond access roads that are longer than 75 feet, either a vehicle turn-around, or paved perimeter access road around the perimeter of the pond is provided.</w:t>
            </w:r>
          </w:p>
        </w:tc>
      </w:tr>
      <w:tr w:rsidR="00A91CBC" w:rsidRPr="00B36276" w14:paraId="2C23E0AF" w14:textId="77777777" w:rsidTr="00A91CBC">
        <w:trPr>
          <w:trHeight w:val="20"/>
        </w:trPr>
        <w:tc>
          <w:tcPr>
            <w:tcW w:w="720" w:type="dxa"/>
            <w:tcBorders>
              <w:top w:val="single" w:sz="4" w:space="0" w:color="auto"/>
              <w:bottom w:val="single" w:sz="4" w:space="0" w:color="auto"/>
            </w:tcBorders>
            <w:shd w:val="clear" w:color="auto" w:fill="auto"/>
            <w:vAlign w:val="center"/>
          </w:tcPr>
          <w:p w14:paraId="293BB8C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32B7F01"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6B440B9" w14:textId="24112C48" w:rsidR="00A91CBC" w:rsidRPr="00A32E7C" w:rsidRDefault="00A91CBC" w:rsidP="005915DE">
            <w:pPr>
              <w:pStyle w:val="BodyText"/>
              <w:contextualSpacing/>
              <w:rPr>
                <w:highlight w:val="yellow"/>
              </w:rPr>
            </w:pPr>
            <w:r w:rsidRPr="00F84C8B">
              <w:t>Turnaround length is 31 feet or less.</w:t>
            </w:r>
          </w:p>
        </w:tc>
      </w:tr>
      <w:tr w:rsidR="00A91CBC" w:rsidRPr="00B36276" w14:paraId="34BE78A8" w14:textId="77777777" w:rsidTr="00A91CBC">
        <w:trPr>
          <w:trHeight w:val="20"/>
        </w:trPr>
        <w:tc>
          <w:tcPr>
            <w:tcW w:w="720" w:type="dxa"/>
            <w:tcBorders>
              <w:top w:val="single" w:sz="4" w:space="0" w:color="auto"/>
              <w:bottom w:val="single" w:sz="4" w:space="0" w:color="auto"/>
            </w:tcBorders>
            <w:shd w:val="clear" w:color="auto" w:fill="auto"/>
            <w:vAlign w:val="center"/>
          </w:tcPr>
          <w:p w14:paraId="69D773DA"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98460CB"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682031E" w14:textId="540449A9" w:rsidR="00A91CBC" w:rsidRPr="003A50EA" w:rsidRDefault="00A91CBC" w:rsidP="00BA5628">
            <w:pPr>
              <w:pStyle w:val="BodyText"/>
              <w:contextualSpacing/>
            </w:pPr>
            <w:r w:rsidRPr="003A50EA">
              <w:t xml:space="preserve">Turnaround </w:t>
            </w:r>
            <w:r w:rsidR="003A50EA" w:rsidRPr="003A50EA">
              <w:t>outside</w:t>
            </w:r>
            <w:r w:rsidRPr="003A50EA">
              <w:t xml:space="preserve"> wheel path radius is at least 40 feet.</w:t>
            </w:r>
          </w:p>
        </w:tc>
      </w:tr>
      <w:tr w:rsidR="00A91CBC" w:rsidRPr="00B36276" w14:paraId="216EB28B"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29123D5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3BC8AE11"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1CCA8C22" w14:textId="65806021" w:rsidR="00A91CBC" w:rsidRPr="00A2466C" w:rsidRDefault="00A91CBC" w:rsidP="00BA5628">
            <w:pPr>
              <w:pStyle w:val="Bullet1"/>
              <w:numPr>
                <w:ilvl w:val="0"/>
                <w:numId w:val="0"/>
              </w:numPr>
              <w:spacing w:after="0"/>
              <w:contextualSpacing/>
              <w:jc w:val="center"/>
              <w:rPr>
                <w:b/>
              </w:rPr>
            </w:pPr>
            <w:r>
              <w:rPr>
                <w:b/>
              </w:rPr>
              <w:t>Access Ramps</w:t>
            </w:r>
          </w:p>
        </w:tc>
      </w:tr>
      <w:tr w:rsidR="00A91CBC" w:rsidRPr="00B36276" w14:paraId="430173AE" w14:textId="77777777" w:rsidTr="00A91CBC">
        <w:trPr>
          <w:trHeight w:val="20"/>
        </w:trPr>
        <w:tc>
          <w:tcPr>
            <w:tcW w:w="720" w:type="dxa"/>
            <w:tcBorders>
              <w:top w:val="single" w:sz="4" w:space="0" w:color="auto"/>
              <w:bottom w:val="single" w:sz="4" w:space="0" w:color="auto"/>
            </w:tcBorders>
            <w:shd w:val="clear" w:color="auto" w:fill="auto"/>
            <w:vAlign w:val="center"/>
          </w:tcPr>
          <w:p w14:paraId="30CFFFD0"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695A0E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954FF0D" w14:textId="3BCFAF69" w:rsidR="00A91CBC" w:rsidRPr="003A50EA" w:rsidRDefault="00A91CBC" w:rsidP="00BA5628">
            <w:pPr>
              <w:pStyle w:val="Bullet1"/>
              <w:numPr>
                <w:ilvl w:val="0"/>
                <w:numId w:val="0"/>
              </w:numPr>
              <w:spacing w:after="0"/>
              <w:contextualSpacing/>
            </w:pPr>
            <w:r w:rsidRPr="003A50EA">
              <w:t xml:space="preserve">Access ramp surface is either: </w:t>
            </w:r>
          </w:p>
          <w:p w14:paraId="44992E28" w14:textId="1F272D91" w:rsidR="00A91CBC" w:rsidRDefault="00A91CBC" w:rsidP="00BA5628">
            <w:pPr>
              <w:pStyle w:val="Bullet1"/>
              <w:numPr>
                <w:ilvl w:val="0"/>
                <w:numId w:val="23"/>
              </w:numPr>
              <w:spacing w:after="0"/>
              <w:contextualSpacing/>
            </w:pPr>
            <w:r w:rsidRPr="003A50EA">
              <w:t>Asphalt (required if providing the only access to a control structure, catch basin, or other drainage structure).</w:t>
            </w:r>
          </w:p>
          <w:p w14:paraId="254AD606" w14:textId="2FA33514" w:rsidR="00A91CBC" w:rsidRPr="003A50EA" w:rsidRDefault="00A91CBC" w:rsidP="003A50EA">
            <w:pPr>
              <w:pStyle w:val="Bullet1"/>
              <w:numPr>
                <w:ilvl w:val="0"/>
                <w:numId w:val="23"/>
              </w:numPr>
              <w:spacing w:after="0"/>
              <w:contextualSpacing/>
            </w:pPr>
            <w:r w:rsidRPr="003A50EA">
              <w:t>Quarry spalls (2</w:t>
            </w:r>
            <w:r w:rsidRPr="003A50EA">
              <w:noBreakHyphen/>
              <w:t> to 4</w:t>
            </w:r>
            <w:r w:rsidRPr="003A50EA">
              <w:noBreakHyphen/>
              <w:t>inch) 6 inches thick (top layer) with 2</w:t>
            </w:r>
            <w:r w:rsidRPr="003A50EA">
              <w:noBreakHyphen/>
              <w:t xml:space="preserve">inch thick crushed rock surface and geotextile fabric (lowest layer) over the native soil. </w:t>
            </w:r>
          </w:p>
        </w:tc>
      </w:tr>
      <w:tr w:rsidR="00A91CBC" w:rsidRPr="00B36276" w14:paraId="4BE651B0" w14:textId="77777777" w:rsidTr="00A91CBC">
        <w:trPr>
          <w:trHeight w:val="386"/>
        </w:trPr>
        <w:tc>
          <w:tcPr>
            <w:tcW w:w="720" w:type="dxa"/>
            <w:tcBorders>
              <w:top w:val="single" w:sz="4" w:space="0" w:color="auto"/>
              <w:bottom w:val="single" w:sz="4" w:space="0" w:color="auto"/>
            </w:tcBorders>
            <w:shd w:val="clear" w:color="auto" w:fill="auto"/>
            <w:vAlign w:val="center"/>
          </w:tcPr>
          <w:p w14:paraId="691C7890"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44A130B"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8C94199" w14:textId="77777777" w:rsidR="00A91CBC" w:rsidRPr="003A50EA" w:rsidRDefault="00A91CBC" w:rsidP="00B53AF9">
            <w:pPr>
              <w:pStyle w:val="Bullet1"/>
              <w:numPr>
                <w:ilvl w:val="0"/>
                <w:numId w:val="0"/>
              </w:numPr>
              <w:spacing w:after="0"/>
              <w:contextualSpacing/>
              <w:rPr>
                <w:b/>
              </w:rPr>
            </w:pPr>
            <w:r w:rsidRPr="003A50EA">
              <w:t>Width of access ramp is at least 15 feet.</w:t>
            </w:r>
          </w:p>
        </w:tc>
      </w:tr>
      <w:tr w:rsidR="00A91CBC" w:rsidRPr="00B36276" w14:paraId="4CF0E674" w14:textId="77777777" w:rsidTr="00A91CBC">
        <w:trPr>
          <w:trHeight w:val="584"/>
        </w:trPr>
        <w:tc>
          <w:tcPr>
            <w:tcW w:w="720" w:type="dxa"/>
            <w:tcBorders>
              <w:top w:val="single" w:sz="4" w:space="0" w:color="auto"/>
              <w:bottom w:val="single" w:sz="4" w:space="0" w:color="auto"/>
            </w:tcBorders>
            <w:shd w:val="clear" w:color="auto" w:fill="auto"/>
            <w:vAlign w:val="center"/>
          </w:tcPr>
          <w:p w14:paraId="5DADB901"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C9F3F04"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4416C9F" w14:textId="1C7A832B" w:rsidR="00A91CBC" w:rsidRPr="00A32E7C" w:rsidRDefault="00A91CBC" w:rsidP="00B53AF9">
            <w:pPr>
              <w:pStyle w:val="Bullet1"/>
              <w:numPr>
                <w:ilvl w:val="0"/>
                <w:numId w:val="0"/>
              </w:numPr>
              <w:spacing w:after="0"/>
              <w:contextualSpacing/>
              <w:rPr>
                <w:highlight w:val="yellow"/>
              </w:rPr>
            </w:pPr>
            <w:r w:rsidRPr="003A50EA">
              <w:t xml:space="preserve">Slope of the paved access ramp is 15% or less, and of gravel access ramp is 12% or less. </w:t>
            </w:r>
          </w:p>
        </w:tc>
      </w:tr>
      <w:tr w:rsidR="00A91CBC" w:rsidRPr="00B36276" w14:paraId="5A146951" w14:textId="77777777" w:rsidTr="00A91CBC">
        <w:trPr>
          <w:trHeight w:val="20"/>
        </w:trPr>
        <w:tc>
          <w:tcPr>
            <w:tcW w:w="720" w:type="dxa"/>
            <w:tcBorders>
              <w:top w:val="single" w:sz="4" w:space="0" w:color="auto"/>
              <w:bottom w:val="single" w:sz="4" w:space="0" w:color="auto"/>
            </w:tcBorders>
            <w:shd w:val="clear" w:color="auto" w:fill="auto"/>
            <w:vAlign w:val="center"/>
          </w:tcPr>
          <w:p w14:paraId="2C398C3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6C3FB5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78EBDCF" w14:textId="1D87B961" w:rsidR="00A91CBC" w:rsidRPr="003A50EA" w:rsidRDefault="00A91CBC" w:rsidP="00BA5628">
            <w:pPr>
              <w:pStyle w:val="Bullet1"/>
              <w:numPr>
                <w:ilvl w:val="0"/>
                <w:numId w:val="0"/>
              </w:numPr>
              <w:spacing w:after="0"/>
              <w:contextualSpacing/>
              <w:rPr>
                <w:b/>
              </w:rPr>
            </w:pPr>
            <w:r w:rsidRPr="003A50EA">
              <w:t>If the pond bottom area is greater than 1,500 square feet (measured without the ramp), then the ramp extends to the pond bottom.</w:t>
            </w:r>
          </w:p>
        </w:tc>
      </w:tr>
      <w:tr w:rsidR="00A91CBC" w:rsidRPr="00B36276" w14:paraId="7B689111" w14:textId="77777777" w:rsidTr="00A91CBC">
        <w:trPr>
          <w:trHeight w:val="20"/>
        </w:trPr>
        <w:tc>
          <w:tcPr>
            <w:tcW w:w="720" w:type="dxa"/>
            <w:tcBorders>
              <w:top w:val="single" w:sz="4" w:space="0" w:color="auto"/>
              <w:bottom w:val="single" w:sz="4" w:space="0" w:color="auto"/>
            </w:tcBorders>
            <w:shd w:val="clear" w:color="auto" w:fill="auto"/>
            <w:vAlign w:val="center"/>
          </w:tcPr>
          <w:p w14:paraId="1F9461B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A763BC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4E0B410" w14:textId="229DD530" w:rsidR="00A91CBC" w:rsidRPr="00A32E7C" w:rsidRDefault="00A91CBC" w:rsidP="00BA5628">
            <w:pPr>
              <w:pStyle w:val="BodyText"/>
              <w:contextualSpacing/>
              <w:jc w:val="left"/>
              <w:rPr>
                <w:highlight w:val="yellow"/>
              </w:rPr>
            </w:pPr>
            <w:r w:rsidRPr="004B3757">
              <w:t>If the pond bottom area is less than 1,500 square feet (measured without the ramp), the ramp extends to at least 4 feet above the cell bottom.</w:t>
            </w:r>
          </w:p>
        </w:tc>
      </w:tr>
      <w:tr w:rsidR="00A91CBC" w:rsidRPr="00B36276" w14:paraId="3A73E3A1" w14:textId="77777777" w:rsidTr="00A91CBC">
        <w:trPr>
          <w:trHeight w:val="20"/>
        </w:trPr>
        <w:tc>
          <w:tcPr>
            <w:tcW w:w="720" w:type="dxa"/>
            <w:tcBorders>
              <w:top w:val="single" w:sz="4" w:space="0" w:color="auto"/>
              <w:bottom w:val="single" w:sz="4" w:space="0" w:color="auto"/>
            </w:tcBorders>
            <w:shd w:val="clear" w:color="auto" w:fill="auto"/>
            <w:vAlign w:val="center"/>
          </w:tcPr>
          <w:p w14:paraId="1F6C244D"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2B96036"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C681D96" w14:textId="0095CB2B" w:rsidR="00A91CBC" w:rsidRPr="00252B32" w:rsidRDefault="00A91CBC" w:rsidP="00BA5628">
            <w:pPr>
              <w:pStyle w:val="BodyText"/>
              <w:contextualSpacing/>
            </w:pPr>
            <w:r w:rsidRPr="00252B32">
              <w:t>If an internal embankment is used as maintenance access, then:</w:t>
            </w:r>
          </w:p>
          <w:p w14:paraId="2143F097" w14:textId="0B8AD711" w:rsidR="00A91CBC" w:rsidRPr="00252B32" w:rsidRDefault="00A91CBC" w:rsidP="00BA5628">
            <w:pPr>
              <w:pStyle w:val="Bullet1"/>
              <w:numPr>
                <w:ilvl w:val="0"/>
                <w:numId w:val="24"/>
              </w:numPr>
              <w:spacing w:after="0"/>
              <w:contextualSpacing/>
            </w:pPr>
            <w:r w:rsidRPr="00252B32">
              <w:t>The embankment</w:t>
            </w:r>
            <w:r w:rsidRPr="00252B32" w:rsidDel="005E1AFA">
              <w:t xml:space="preserve"> </w:t>
            </w:r>
            <w:r w:rsidRPr="00252B32">
              <w:t>is no more than 4 feet above either cell bottom</w:t>
            </w:r>
          </w:p>
          <w:p w14:paraId="46719650" w14:textId="6DF048E1" w:rsidR="00A91CBC" w:rsidRPr="00252B32" w:rsidRDefault="00A91CBC" w:rsidP="00BA5628">
            <w:pPr>
              <w:pStyle w:val="Bullet1"/>
              <w:numPr>
                <w:ilvl w:val="0"/>
                <w:numId w:val="24"/>
              </w:numPr>
              <w:spacing w:after="0"/>
              <w:contextualSpacing/>
            </w:pPr>
            <w:r w:rsidRPr="00252B32">
              <w:t>The embankment</w:t>
            </w:r>
            <w:r w:rsidRPr="00252B32" w:rsidDel="005E1AFA">
              <w:t xml:space="preserve"> </w:t>
            </w:r>
            <w:r w:rsidRPr="00252B32">
              <w:t>is designed to support the weight of a trackhoe (considering the embankment is normally submerged and saturated)</w:t>
            </w:r>
          </w:p>
          <w:p w14:paraId="6CACC0F8" w14:textId="6289822A" w:rsidR="00A91CBC" w:rsidRPr="00252B32" w:rsidRDefault="00A91CBC" w:rsidP="00BA5628">
            <w:pPr>
              <w:pStyle w:val="Bullet1"/>
              <w:numPr>
                <w:ilvl w:val="0"/>
                <w:numId w:val="24"/>
              </w:numPr>
              <w:spacing w:after="0"/>
              <w:contextualSpacing/>
            </w:pPr>
            <w:r w:rsidRPr="00252B32">
              <w:t>The embankment</w:t>
            </w:r>
            <w:r w:rsidRPr="00252B32" w:rsidDel="005E1AFA">
              <w:t xml:space="preserve"> </w:t>
            </w:r>
            <w:r w:rsidRPr="00252B32">
              <w:t>side slopes are no steeper than 3H:1V</w:t>
            </w:r>
            <w:r w:rsidR="00CC6C00">
              <w:t xml:space="preserve"> for access only</w:t>
            </w:r>
            <w:r w:rsidR="006F0F8B">
              <w:t>.</w:t>
            </w:r>
          </w:p>
        </w:tc>
      </w:tr>
      <w:tr w:rsidR="00A91CBC" w:rsidRPr="00B36276" w14:paraId="1A4C6E2D" w14:textId="77777777" w:rsidTr="00A91CBC">
        <w:trPr>
          <w:trHeight w:val="20"/>
        </w:trPr>
        <w:tc>
          <w:tcPr>
            <w:tcW w:w="720" w:type="dxa"/>
            <w:tcBorders>
              <w:top w:val="single" w:sz="4" w:space="0" w:color="auto"/>
              <w:bottom w:val="single" w:sz="4" w:space="0" w:color="auto"/>
            </w:tcBorders>
            <w:shd w:val="clear" w:color="auto" w:fill="auto"/>
            <w:vAlign w:val="center"/>
          </w:tcPr>
          <w:p w14:paraId="71B280CC"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803FBE8" w14:textId="77777777" w:rsidR="00A91CBC" w:rsidRPr="00B36276" w:rsidRDefault="00A91CBC" w:rsidP="00B53AF9">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BE3DF66" w14:textId="77777777" w:rsidR="00A91CBC" w:rsidRPr="00252B32" w:rsidRDefault="00A91CBC" w:rsidP="00B53AF9">
            <w:pPr>
              <w:pStyle w:val="BodyText"/>
              <w:contextualSpacing/>
              <w:jc w:val="left"/>
            </w:pPr>
            <w:r w:rsidRPr="00252B32">
              <w:t xml:space="preserve">If a cell does not have an access ramp, then </w:t>
            </w:r>
            <w:r w:rsidRPr="00252B32">
              <w:rPr>
                <w:u w:val="single"/>
              </w:rPr>
              <w:t>at least one</w:t>
            </w:r>
            <w:r w:rsidRPr="00252B32">
              <w:t xml:space="preserve"> of the following is satisfied: </w:t>
            </w:r>
          </w:p>
          <w:p w14:paraId="6FFE5060" w14:textId="77777777" w:rsidR="00A91CBC" w:rsidRPr="00252B32" w:rsidRDefault="00A91CBC" w:rsidP="00B53AF9">
            <w:pPr>
              <w:pStyle w:val="BodyText"/>
              <w:numPr>
                <w:ilvl w:val="0"/>
                <w:numId w:val="22"/>
              </w:numPr>
              <w:contextualSpacing/>
              <w:jc w:val="left"/>
            </w:pPr>
            <w:r w:rsidRPr="00252B32">
              <w:t xml:space="preserve">Cell bottoms are accessible (side slopes of the cell is no steeper than 3H:1V), </w:t>
            </w:r>
            <w:r w:rsidRPr="00252B32">
              <w:rPr>
                <w:u w:val="single"/>
              </w:rPr>
              <w:t>or</w:t>
            </w:r>
            <w:r w:rsidRPr="00252B32">
              <w:t xml:space="preserve"> </w:t>
            </w:r>
          </w:p>
          <w:p w14:paraId="361337B2" w14:textId="2A04B3A0" w:rsidR="00A91CBC" w:rsidRPr="00252B32" w:rsidRDefault="00A91CBC" w:rsidP="00421C3C">
            <w:pPr>
              <w:pStyle w:val="BodyText"/>
              <w:numPr>
                <w:ilvl w:val="0"/>
                <w:numId w:val="22"/>
              </w:numPr>
              <w:contextualSpacing/>
              <w:jc w:val="left"/>
            </w:pPr>
            <w:r w:rsidRPr="00252B32">
              <w:t xml:space="preserve">Cell bottoms are reachable by </w:t>
            </w:r>
            <w:r w:rsidR="00252B32" w:rsidRPr="00252B32">
              <w:t xml:space="preserve">a </w:t>
            </w:r>
            <w:r w:rsidRPr="00252B32">
              <w:t xml:space="preserve">trackhoe from the perimeter access road. </w:t>
            </w:r>
          </w:p>
        </w:tc>
      </w:tr>
      <w:tr w:rsidR="00A91CBC" w:rsidRPr="00B36276" w14:paraId="276EDC1F"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2E68286F"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6CE3F4F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00390B30" w14:textId="08C7AE80" w:rsidR="00A91CBC" w:rsidRDefault="00A91CBC" w:rsidP="00BA5628">
            <w:pPr>
              <w:pStyle w:val="BodyText"/>
              <w:contextualSpacing/>
              <w:jc w:val="center"/>
            </w:pPr>
            <w:r>
              <w:rPr>
                <w:b/>
              </w:rPr>
              <w:t>Pond Access Gates or Bollards</w:t>
            </w:r>
          </w:p>
        </w:tc>
      </w:tr>
      <w:tr w:rsidR="00A91CBC" w:rsidRPr="00B36276" w14:paraId="559B2DBA" w14:textId="77777777" w:rsidTr="00A91CBC">
        <w:trPr>
          <w:trHeight w:val="584"/>
        </w:trPr>
        <w:tc>
          <w:tcPr>
            <w:tcW w:w="720" w:type="dxa"/>
            <w:tcBorders>
              <w:top w:val="single" w:sz="4" w:space="0" w:color="auto"/>
              <w:bottom w:val="single" w:sz="4" w:space="0" w:color="auto"/>
            </w:tcBorders>
            <w:shd w:val="clear" w:color="auto" w:fill="auto"/>
            <w:vAlign w:val="center"/>
          </w:tcPr>
          <w:p w14:paraId="779AE0E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BB203A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7424D45" w14:textId="1457B795" w:rsidR="00A91CBC" w:rsidRPr="00F84C8B" w:rsidRDefault="00A91CBC" w:rsidP="00BA5628">
            <w:pPr>
              <w:pStyle w:val="BodyText"/>
              <w:contextualSpacing/>
            </w:pPr>
            <w:r w:rsidRPr="00F84C8B">
              <w:t>Vehicle access is limited by a double gate if a pond is fenced, or by bollards if the pond is not fenced.</w:t>
            </w:r>
          </w:p>
        </w:tc>
      </w:tr>
      <w:tr w:rsidR="00A91CBC" w:rsidRPr="00B36276" w14:paraId="171D73B7" w14:textId="77777777" w:rsidTr="00A91CBC">
        <w:trPr>
          <w:trHeight w:val="58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AC674" w14:textId="77777777" w:rsidR="00A91CBC" w:rsidRPr="00B36276" w:rsidRDefault="00A91CBC" w:rsidP="00B53AF9">
            <w:pPr>
              <w:contextualSpacing/>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0C24A9" w14:textId="77777777" w:rsidR="00A91CBC" w:rsidRPr="00BA7EEF" w:rsidRDefault="00A91CBC" w:rsidP="00B53AF9">
            <w:pPr>
              <w:contextualSpacing/>
              <w:jc w:val="center"/>
              <w:rPr>
                <w:rFonts w:ascii="Times New Roman" w:hAnsi="Times New Roman"/>
                <w:b/>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59E73D09" w14:textId="6CF0BEA1" w:rsidR="00A91CBC" w:rsidRPr="00BA7EEF" w:rsidRDefault="00A91CBC" w:rsidP="00B53AF9">
            <w:pPr>
              <w:pStyle w:val="BodyText"/>
              <w:contextualSpacing/>
            </w:pPr>
            <w:r w:rsidRPr="00BA7EEF">
              <w:t>Access gates and bollards are set 20 feet back from property line where the road it is connecting from is posted 35 mph or greater (arterials).</w:t>
            </w:r>
            <w:r w:rsidR="00CC6C00">
              <w:t xml:space="preserve"> Or meets clear zone requirements, wh</w:t>
            </w:r>
            <w:r w:rsidR="002C1876">
              <w:t>ichever</w:t>
            </w:r>
            <w:r w:rsidR="00CC6C00">
              <w:t xml:space="preserve"> is more stringent</w:t>
            </w:r>
          </w:p>
        </w:tc>
      </w:tr>
      <w:tr w:rsidR="00A91CBC" w:rsidRPr="00B36276" w14:paraId="23854734" w14:textId="77777777" w:rsidTr="00A91CBC">
        <w:trPr>
          <w:trHeight w:val="20"/>
        </w:trPr>
        <w:tc>
          <w:tcPr>
            <w:tcW w:w="720" w:type="dxa"/>
            <w:tcBorders>
              <w:top w:val="single" w:sz="4" w:space="0" w:color="auto"/>
              <w:bottom w:val="single" w:sz="4" w:space="0" w:color="auto"/>
            </w:tcBorders>
            <w:shd w:val="clear" w:color="auto" w:fill="auto"/>
            <w:vAlign w:val="center"/>
          </w:tcPr>
          <w:p w14:paraId="44B0E7C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1B8A884"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425A705" w14:textId="1B901BCD" w:rsidR="00A91CBC" w:rsidRPr="00A32E7C" w:rsidRDefault="00A91CBC" w:rsidP="00BA5628">
            <w:pPr>
              <w:pStyle w:val="BodyText"/>
              <w:contextualSpacing/>
              <w:rPr>
                <w:highlight w:val="yellow"/>
              </w:rPr>
            </w:pPr>
            <w:r w:rsidRPr="00F84C8B">
              <w:t>A minimum of one locking access road gate is provided that meets WSDOT Standard Plan L30.10</w:t>
            </w:r>
            <w:r w:rsidR="009A58F9">
              <w:t>-02.</w:t>
            </w:r>
          </w:p>
        </w:tc>
      </w:tr>
      <w:tr w:rsidR="00A91CBC" w:rsidRPr="00B36276" w14:paraId="0EA0F0E0" w14:textId="77777777" w:rsidTr="00A91CBC">
        <w:trPr>
          <w:trHeight w:val="20"/>
        </w:trPr>
        <w:tc>
          <w:tcPr>
            <w:tcW w:w="720" w:type="dxa"/>
            <w:tcBorders>
              <w:top w:val="single" w:sz="4" w:space="0" w:color="auto"/>
              <w:bottom w:val="single" w:sz="4" w:space="0" w:color="auto"/>
            </w:tcBorders>
            <w:shd w:val="clear" w:color="auto" w:fill="auto"/>
            <w:vAlign w:val="center"/>
          </w:tcPr>
          <w:p w14:paraId="5B12063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D854F55"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E416A89" w14:textId="0C1F66D9" w:rsidR="00A91CBC" w:rsidRPr="00A32E7C" w:rsidRDefault="00A91CBC" w:rsidP="00BA5628">
            <w:pPr>
              <w:pStyle w:val="BodyText"/>
              <w:contextualSpacing/>
              <w:rPr>
                <w:highlight w:val="yellow"/>
              </w:rPr>
            </w:pPr>
            <w:r w:rsidRPr="009A58F9">
              <w:t>Pedestrian access gates (if needed) are a minimum of 4 feet in width and meet WSDOT Standard Plan L</w:t>
            </w:r>
            <w:r w:rsidRPr="009A58F9">
              <w:noBreakHyphen/>
              <w:t>3</w:t>
            </w:r>
            <w:r w:rsidR="009A58F9" w:rsidRPr="009A58F9">
              <w:t>0.10-02</w:t>
            </w:r>
            <w:r w:rsidRPr="009A58F9">
              <w:t>.</w:t>
            </w:r>
          </w:p>
        </w:tc>
      </w:tr>
      <w:tr w:rsidR="00A91CBC" w:rsidRPr="00B36276" w14:paraId="435DC2DF" w14:textId="77777777" w:rsidTr="00A91CBC">
        <w:trPr>
          <w:trHeight w:val="20"/>
        </w:trPr>
        <w:tc>
          <w:tcPr>
            <w:tcW w:w="720" w:type="dxa"/>
            <w:tcBorders>
              <w:top w:val="single" w:sz="4" w:space="0" w:color="auto"/>
              <w:bottom w:val="single" w:sz="4" w:space="0" w:color="auto"/>
            </w:tcBorders>
            <w:shd w:val="clear" w:color="auto" w:fill="auto"/>
            <w:vAlign w:val="center"/>
          </w:tcPr>
          <w:p w14:paraId="4FA8C1E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8239E9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9873735" w14:textId="60C637FC" w:rsidR="00A91CBC" w:rsidRPr="00F84C8B" w:rsidRDefault="00A91CBC" w:rsidP="00BA5628">
            <w:pPr>
              <w:pStyle w:val="BodyText"/>
              <w:contextualSpacing/>
            </w:pPr>
            <w:r w:rsidRPr="00F84C8B">
              <w:t xml:space="preserve">Gates are 14, 16, 18, or 20 feet in width. </w:t>
            </w:r>
          </w:p>
        </w:tc>
      </w:tr>
      <w:tr w:rsidR="00A91CBC" w:rsidRPr="00B36276" w14:paraId="1DCC7643" w14:textId="77777777" w:rsidTr="00A91CBC">
        <w:trPr>
          <w:trHeight w:val="20"/>
        </w:trPr>
        <w:tc>
          <w:tcPr>
            <w:tcW w:w="720" w:type="dxa"/>
            <w:tcBorders>
              <w:top w:val="single" w:sz="4" w:space="0" w:color="auto"/>
              <w:bottom w:val="single" w:sz="4" w:space="0" w:color="auto"/>
            </w:tcBorders>
            <w:shd w:val="clear" w:color="auto" w:fill="auto"/>
            <w:vAlign w:val="center"/>
          </w:tcPr>
          <w:p w14:paraId="55833A5A"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662786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AB28607" w14:textId="6A906903" w:rsidR="00A91CBC" w:rsidRPr="00F84C8B" w:rsidRDefault="00A91CBC" w:rsidP="00BA5628">
            <w:pPr>
              <w:pStyle w:val="BodyText"/>
              <w:contextualSpacing/>
            </w:pPr>
            <w:r w:rsidRPr="00F84C8B">
              <w:t>Bollards consist of two fixed bollards on the outside of the access road, and two removable bollards equally spaced between the fixed bollards (or all four removable if placed in the traveled way).</w:t>
            </w:r>
          </w:p>
        </w:tc>
      </w:tr>
      <w:tr w:rsidR="00A91CBC" w:rsidRPr="00B36276" w14:paraId="52C1B876"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77FBFD98"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193CB272"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48968D90" w14:textId="7BDCF4D2" w:rsidR="00A91CBC" w:rsidRPr="00A2466C" w:rsidRDefault="00A91CBC" w:rsidP="00BA5628">
            <w:pPr>
              <w:pStyle w:val="Bullet1"/>
              <w:numPr>
                <w:ilvl w:val="0"/>
                <w:numId w:val="0"/>
              </w:numPr>
              <w:spacing w:after="0"/>
              <w:contextualSpacing/>
              <w:jc w:val="center"/>
              <w:rPr>
                <w:b/>
              </w:rPr>
            </w:pPr>
            <w:r>
              <w:rPr>
                <w:b/>
              </w:rPr>
              <w:t>Fencing Extents</w:t>
            </w:r>
          </w:p>
        </w:tc>
      </w:tr>
      <w:tr w:rsidR="00A91CBC" w:rsidRPr="00B36276" w14:paraId="6D52E05F" w14:textId="77777777" w:rsidTr="00A91CBC">
        <w:trPr>
          <w:trHeight w:val="584"/>
        </w:trPr>
        <w:tc>
          <w:tcPr>
            <w:tcW w:w="720" w:type="dxa"/>
            <w:tcBorders>
              <w:top w:val="single" w:sz="4" w:space="0" w:color="auto"/>
              <w:bottom w:val="single" w:sz="4" w:space="0" w:color="auto"/>
            </w:tcBorders>
            <w:shd w:val="clear" w:color="auto" w:fill="auto"/>
            <w:vAlign w:val="center"/>
          </w:tcPr>
          <w:p w14:paraId="1193F170"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3A1FFF2"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8E4D1D7" w14:textId="04314692" w:rsidR="00A91CBC" w:rsidRPr="00A32E7C" w:rsidRDefault="00A91CBC" w:rsidP="00444B40">
            <w:pPr>
              <w:pStyle w:val="Bullet1"/>
              <w:numPr>
                <w:ilvl w:val="0"/>
                <w:numId w:val="0"/>
              </w:numPr>
              <w:spacing w:after="0"/>
              <w:contextualSpacing/>
              <w:rPr>
                <w:b/>
                <w:highlight w:val="yellow"/>
              </w:rPr>
            </w:pPr>
            <w:r w:rsidRPr="00F84C8B">
              <w:t xml:space="preserve">A fence is provided around the entire site if the site is a public stormwater facility tract, or if the pond impoundment wall is greater than </w:t>
            </w:r>
            <w:r w:rsidR="005A4B5B">
              <w:t>30</w:t>
            </w:r>
            <w:r w:rsidRPr="00F84C8B">
              <w:t xml:space="preserve"> inches high.</w:t>
            </w:r>
          </w:p>
        </w:tc>
      </w:tr>
      <w:tr w:rsidR="00A91CBC" w:rsidRPr="00B36276" w14:paraId="78F2FD75" w14:textId="77777777" w:rsidTr="00A91CBC">
        <w:trPr>
          <w:trHeight w:val="20"/>
        </w:trPr>
        <w:tc>
          <w:tcPr>
            <w:tcW w:w="720" w:type="dxa"/>
            <w:tcBorders>
              <w:top w:val="single" w:sz="4" w:space="0" w:color="auto"/>
              <w:bottom w:val="single" w:sz="4" w:space="0" w:color="auto"/>
            </w:tcBorders>
            <w:shd w:val="clear" w:color="auto" w:fill="auto"/>
            <w:vAlign w:val="center"/>
          </w:tcPr>
          <w:p w14:paraId="1F6D27F0"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9A1F67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579B3CA" w14:textId="6ACE29E9" w:rsidR="00A91CBC" w:rsidRPr="00A32E7C" w:rsidRDefault="00A91CBC" w:rsidP="005915DE">
            <w:pPr>
              <w:pStyle w:val="Bullet1"/>
              <w:numPr>
                <w:ilvl w:val="0"/>
                <w:numId w:val="0"/>
              </w:numPr>
              <w:spacing w:after="0"/>
              <w:contextualSpacing/>
              <w:rPr>
                <w:highlight w:val="yellow"/>
              </w:rPr>
            </w:pPr>
            <w:r w:rsidRPr="003A50EA">
              <w:t xml:space="preserve">A fence is provided for portions of the pond perimeter where pond slopes </w:t>
            </w:r>
            <w:r w:rsidR="00CC6C00">
              <w:t>are</w:t>
            </w:r>
            <w:r w:rsidRPr="003A50EA">
              <w:t xml:space="preserve"> steeper than 3H:1V at the emergency overflow water surface elevation, or higher. </w:t>
            </w:r>
          </w:p>
        </w:tc>
      </w:tr>
      <w:tr w:rsidR="00A91CBC" w:rsidRPr="00B36276" w14:paraId="47D76F73" w14:textId="77777777" w:rsidTr="00A91CBC">
        <w:trPr>
          <w:trHeight w:val="20"/>
        </w:trPr>
        <w:tc>
          <w:tcPr>
            <w:tcW w:w="720" w:type="dxa"/>
            <w:tcBorders>
              <w:top w:val="single" w:sz="4" w:space="0" w:color="auto"/>
              <w:bottom w:val="single" w:sz="4" w:space="0" w:color="auto"/>
            </w:tcBorders>
            <w:shd w:val="clear" w:color="auto" w:fill="auto"/>
            <w:vAlign w:val="center"/>
          </w:tcPr>
          <w:p w14:paraId="552CE659"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68DD6D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A77251B" w14:textId="074FD878" w:rsidR="00A91CBC" w:rsidRPr="00BA7EEF" w:rsidRDefault="00A91CBC" w:rsidP="005915DE">
            <w:pPr>
              <w:pStyle w:val="Bullet1"/>
              <w:numPr>
                <w:ilvl w:val="0"/>
                <w:numId w:val="0"/>
              </w:numPr>
              <w:spacing w:after="0"/>
              <w:contextualSpacing/>
            </w:pPr>
            <w:r w:rsidRPr="00BA7EEF">
              <w:t>Within the clear zone of roads with design speeds of 35 mph or higher, fencing is placed at the tract or easement boundary, and a minimum of 5 feet from the top slope catch point.</w:t>
            </w:r>
          </w:p>
        </w:tc>
      </w:tr>
      <w:tr w:rsidR="00A91CBC" w:rsidRPr="005915DE" w14:paraId="4E8695A1" w14:textId="77777777" w:rsidTr="00A91CBC">
        <w:trPr>
          <w:trHeight w:val="20"/>
        </w:trPr>
        <w:tc>
          <w:tcPr>
            <w:tcW w:w="720" w:type="dxa"/>
            <w:tcBorders>
              <w:top w:val="single" w:sz="4" w:space="0" w:color="auto"/>
              <w:bottom w:val="single" w:sz="4" w:space="0" w:color="auto"/>
            </w:tcBorders>
            <w:shd w:val="clear" w:color="auto" w:fill="auto"/>
            <w:vAlign w:val="center"/>
          </w:tcPr>
          <w:p w14:paraId="6831171F" w14:textId="77777777" w:rsidR="00A91CBC" w:rsidRPr="005915DE"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E50F6A6" w14:textId="77777777" w:rsidR="00A91CBC" w:rsidRPr="005915DE"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31317D8" w14:textId="1BF49A6F" w:rsidR="00A91CBC" w:rsidRPr="00A32E7C" w:rsidRDefault="00A91CBC" w:rsidP="005915DE">
            <w:pPr>
              <w:pStyle w:val="Bullet1"/>
              <w:numPr>
                <w:ilvl w:val="0"/>
                <w:numId w:val="0"/>
              </w:numPr>
              <w:spacing w:after="0"/>
              <w:contextualSpacing/>
              <w:rPr>
                <w:highlight w:val="yellow"/>
              </w:rPr>
            </w:pPr>
            <w:r w:rsidRPr="00F84C8B">
              <w:t xml:space="preserve">Detention ponds on school sites comply with safety standards developed by the Washington State Department of Health (DOH) and the superintendent for public instruction. </w:t>
            </w:r>
          </w:p>
        </w:tc>
      </w:tr>
      <w:tr w:rsidR="00A91CBC" w:rsidRPr="00B36276" w14:paraId="30BB2D0E"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65E1968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1A57BDF0"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331E6952" w14:textId="2D663885" w:rsidR="00A91CBC" w:rsidRPr="00593BD4" w:rsidRDefault="00A91CBC" w:rsidP="00BA5628">
            <w:pPr>
              <w:pStyle w:val="Bullet1"/>
              <w:numPr>
                <w:ilvl w:val="0"/>
                <w:numId w:val="0"/>
              </w:numPr>
              <w:spacing w:after="0"/>
              <w:contextualSpacing/>
              <w:jc w:val="center"/>
              <w:rPr>
                <w:b/>
              </w:rPr>
            </w:pPr>
            <w:r>
              <w:rPr>
                <w:b/>
              </w:rPr>
              <w:t xml:space="preserve">Fence </w:t>
            </w:r>
            <w:r w:rsidRPr="00593BD4">
              <w:rPr>
                <w:b/>
              </w:rPr>
              <w:t>Material</w:t>
            </w:r>
          </w:p>
        </w:tc>
      </w:tr>
      <w:tr w:rsidR="00A91CBC" w:rsidRPr="00B36276" w14:paraId="357899E4" w14:textId="77777777" w:rsidTr="00A91CBC">
        <w:trPr>
          <w:trHeight w:val="584"/>
        </w:trPr>
        <w:tc>
          <w:tcPr>
            <w:tcW w:w="720" w:type="dxa"/>
            <w:tcBorders>
              <w:top w:val="single" w:sz="4" w:space="0" w:color="auto"/>
              <w:bottom w:val="single" w:sz="4" w:space="0" w:color="auto"/>
            </w:tcBorders>
            <w:shd w:val="clear" w:color="auto" w:fill="auto"/>
            <w:vAlign w:val="center"/>
          </w:tcPr>
          <w:p w14:paraId="53227C7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D0D90A8"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C737C69" w14:textId="515CFBEF" w:rsidR="00A91CBC" w:rsidRPr="009A58F9" w:rsidRDefault="00A91CBC" w:rsidP="006D72BB">
            <w:pPr>
              <w:pStyle w:val="Bullet1"/>
              <w:numPr>
                <w:ilvl w:val="0"/>
                <w:numId w:val="0"/>
              </w:numPr>
              <w:spacing w:after="0"/>
              <w:contextualSpacing/>
            </w:pPr>
            <w:r w:rsidRPr="009A58F9">
              <w:t>Fences around public detention ponds are a minimum 6</w:t>
            </w:r>
            <w:r w:rsidRPr="009A58F9">
              <w:noBreakHyphen/>
              <w:t xml:space="preserve">foot-high chain link fence. </w:t>
            </w:r>
          </w:p>
        </w:tc>
      </w:tr>
      <w:tr w:rsidR="00A91CBC" w:rsidRPr="00B36276" w14:paraId="1FD3EA1E" w14:textId="77777777" w:rsidTr="009A58F9">
        <w:trPr>
          <w:trHeight w:val="602"/>
        </w:trPr>
        <w:tc>
          <w:tcPr>
            <w:tcW w:w="720" w:type="dxa"/>
            <w:tcBorders>
              <w:top w:val="single" w:sz="4" w:space="0" w:color="auto"/>
              <w:bottom w:val="single" w:sz="4" w:space="0" w:color="auto"/>
            </w:tcBorders>
            <w:shd w:val="clear" w:color="auto" w:fill="auto"/>
            <w:vAlign w:val="center"/>
          </w:tcPr>
          <w:p w14:paraId="5B50DCA9"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82E236C"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D11D2E2" w14:textId="47D9C030" w:rsidR="00A91CBC" w:rsidRPr="009A58F9" w:rsidRDefault="00A91CBC" w:rsidP="006D72BB">
            <w:pPr>
              <w:pStyle w:val="Bullet1"/>
              <w:numPr>
                <w:ilvl w:val="0"/>
                <w:numId w:val="0"/>
              </w:numPr>
              <w:spacing w:after="0"/>
              <w:contextualSpacing/>
            </w:pPr>
            <w:r w:rsidRPr="009A58F9">
              <w:t xml:space="preserve">Fences around tracts within the clear zone of roads with design speeds of 35 mph or higher are chain link fence Type 3. </w:t>
            </w:r>
          </w:p>
        </w:tc>
      </w:tr>
      <w:tr w:rsidR="00A91CBC" w:rsidRPr="00B36276" w14:paraId="3EAE8776" w14:textId="77777777" w:rsidTr="00A91CBC">
        <w:trPr>
          <w:trHeight w:val="20"/>
        </w:trPr>
        <w:tc>
          <w:tcPr>
            <w:tcW w:w="720" w:type="dxa"/>
            <w:tcBorders>
              <w:top w:val="single" w:sz="4" w:space="0" w:color="auto"/>
              <w:bottom w:val="single" w:sz="4" w:space="0" w:color="auto"/>
            </w:tcBorders>
            <w:shd w:val="clear" w:color="auto" w:fill="auto"/>
            <w:vAlign w:val="center"/>
          </w:tcPr>
          <w:p w14:paraId="622FD6E0"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05343A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557A6FF" w14:textId="2A3F7A81" w:rsidR="00A91CBC" w:rsidRPr="009A58F9" w:rsidRDefault="00A91CBC" w:rsidP="005915DE">
            <w:pPr>
              <w:pStyle w:val="Bullet1"/>
              <w:numPr>
                <w:ilvl w:val="0"/>
                <w:numId w:val="0"/>
              </w:numPr>
              <w:spacing w:after="0"/>
              <w:contextualSpacing/>
            </w:pPr>
            <w:r w:rsidRPr="009A58F9">
              <w:t>Fences around any pipe stem access to a basin are WSDOT Type 4 chain link fence with a 14</w:t>
            </w:r>
            <w:r w:rsidRPr="009A58F9">
              <w:noBreakHyphen/>
              <w:t xml:space="preserve">foot gate. </w:t>
            </w:r>
          </w:p>
        </w:tc>
      </w:tr>
      <w:tr w:rsidR="00A91CBC" w:rsidRPr="00B36276" w14:paraId="5B297CD8" w14:textId="77777777" w:rsidTr="00A91CBC">
        <w:trPr>
          <w:trHeight w:val="20"/>
        </w:trPr>
        <w:tc>
          <w:tcPr>
            <w:tcW w:w="720" w:type="dxa"/>
            <w:tcBorders>
              <w:top w:val="single" w:sz="4" w:space="0" w:color="auto"/>
              <w:bottom w:val="single" w:sz="4" w:space="0" w:color="auto"/>
            </w:tcBorders>
            <w:shd w:val="clear" w:color="auto" w:fill="auto"/>
            <w:vAlign w:val="center"/>
          </w:tcPr>
          <w:p w14:paraId="2F98234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A8DAC6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81C27A4" w14:textId="4C774F8B" w:rsidR="00A91CBC" w:rsidRPr="009A58F9" w:rsidRDefault="00A91CBC" w:rsidP="00BA5628">
            <w:pPr>
              <w:pStyle w:val="Bullet1"/>
              <w:numPr>
                <w:ilvl w:val="0"/>
                <w:numId w:val="0"/>
              </w:numPr>
              <w:spacing w:after="0"/>
              <w:contextualSpacing/>
            </w:pPr>
            <w:r w:rsidRPr="009A58F9">
              <w:t xml:space="preserve">Fence material is No. 9 gauge galvanized steel fabric with bonded vinyl coating. </w:t>
            </w:r>
          </w:p>
        </w:tc>
      </w:tr>
      <w:tr w:rsidR="00A91CBC" w:rsidRPr="00B36276" w14:paraId="6F68D2BC" w14:textId="77777777" w:rsidTr="00A91CBC">
        <w:trPr>
          <w:trHeight w:val="20"/>
        </w:trPr>
        <w:tc>
          <w:tcPr>
            <w:tcW w:w="720" w:type="dxa"/>
            <w:tcBorders>
              <w:top w:val="single" w:sz="4" w:space="0" w:color="auto"/>
              <w:bottom w:val="single" w:sz="4" w:space="0" w:color="auto"/>
            </w:tcBorders>
            <w:shd w:val="clear" w:color="auto" w:fill="auto"/>
            <w:vAlign w:val="center"/>
          </w:tcPr>
          <w:p w14:paraId="28F1B720"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C0B11C7"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FB5E040" w14:textId="604B7204" w:rsidR="00A91CBC" w:rsidRPr="009A58F9" w:rsidRDefault="00A91CBC" w:rsidP="00BA5628">
            <w:pPr>
              <w:pStyle w:val="Bullet1"/>
              <w:numPr>
                <w:ilvl w:val="0"/>
                <w:numId w:val="0"/>
              </w:numPr>
              <w:spacing w:after="0"/>
              <w:contextualSpacing/>
            </w:pPr>
            <w:r w:rsidRPr="009A58F9">
              <w:t xml:space="preserve">Fence vinyl coating is green or black. </w:t>
            </w:r>
          </w:p>
        </w:tc>
      </w:tr>
      <w:tr w:rsidR="00A91CBC" w:rsidRPr="00B36276" w14:paraId="42CB9888" w14:textId="77777777" w:rsidTr="00A91CBC">
        <w:trPr>
          <w:trHeight w:val="20"/>
        </w:trPr>
        <w:tc>
          <w:tcPr>
            <w:tcW w:w="720" w:type="dxa"/>
            <w:tcBorders>
              <w:top w:val="single" w:sz="4" w:space="0" w:color="auto"/>
              <w:bottom w:val="single" w:sz="4" w:space="0" w:color="auto"/>
            </w:tcBorders>
            <w:shd w:val="clear" w:color="auto" w:fill="auto"/>
            <w:vAlign w:val="center"/>
          </w:tcPr>
          <w:p w14:paraId="022B8869"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B1CD91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CC23DD9" w14:textId="7E475E36" w:rsidR="00A91CBC" w:rsidRPr="009A58F9" w:rsidRDefault="00A91CBC" w:rsidP="00BA5628">
            <w:pPr>
              <w:pStyle w:val="Bullet1"/>
              <w:numPr>
                <w:ilvl w:val="0"/>
                <w:numId w:val="0"/>
              </w:numPr>
              <w:spacing w:after="0"/>
              <w:contextualSpacing/>
            </w:pPr>
            <w:r w:rsidRPr="009A58F9">
              <w:t>All posts, cross bars, fasteners, and gates are painted or coated the same color as the vinyl clad fence.</w:t>
            </w:r>
          </w:p>
        </w:tc>
      </w:tr>
      <w:tr w:rsidR="00A91CBC" w:rsidRPr="005915DE" w14:paraId="47D6DB18" w14:textId="77777777" w:rsidTr="00A91CBC">
        <w:trPr>
          <w:trHeight w:val="20"/>
        </w:trPr>
        <w:tc>
          <w:tcPr>
            <w:tcW w:w="720" w:type="dxa"/>
            <w:tcBorders>
              <w:top w:val="single" w:sz="4" w:space="0" w:color="auto"/>
              <w:bottom w:val="single" w:sz="4" w:space="0" w:color="auto"/>
            </w:tcBorders>
            <w:shd w:val="clear" w:color="auto" w:fill="auto"/>
            <w:vAlign w:val="center"/>
          </w:tcPr>
          <w:p w14:paraId="0BF8E0C7" w14:textId="77777777" w:rsidR="00A91CBC" w:rsidRPr="005915DE"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5D3E099" w14:textId="77777777" w:rsidR="00A91CBC" w:rsidRPr="005915DE"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C5C312A" w14:textId="4961E469" w:rsidR="00A91CBC" w:rsidRPr="009A58F9" w:rsidRDefault="00A91CBC" w:rsidP="005915DE">
            <w:pPr>
              <w:pStyle w:val="Bullet1"/>
              <w:numPr>
                <w:ilvl w:val="0"/>
                <w:numId w:val="0"/>
              </w:numPr>
              <w:spacing w:after="0"/>
              <w:contextualSpacing/>
            </w:pPr>
            <w:r w:rsidRPr="009A58F9">
              <w:t>For metal baluster fences, IBC standards are met.</w:t>
            </w:r>
          </w:p>
        </w:tc>
      </w:tr>
      <w:tr w:rsidR="00A91CBC" w:rsidRPr="00B36276" w14:paraId="6F603CE0" w14:textId="77777777" w:rsidTr="00A91CBC">
        <w:trPr>
          <w:trHeight w:val="20"/>
        </w:trPr>
        <w:tc>
          <w:tcPr>
            <w:tcW w:w="720" w:type="dxa"/>
            <w:tcBorders>
              <w:top w:val="single" w:sz="4" w:space="0" w:color="auto"/>
              <w:bottom w:val="single" w:sz="4" w:space="0" w:color="auto"/>
            </w:tcBorders>
            <w:shd w:val="clear" w:color="auto" w:fill="auto"/>
            <w:vAlign w:val="center"/>
          </w:tcPr>
          <w:p w14:paraId="6D9F8D5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CFE40F0"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10DF441" w14:textId="4B846BA2" w:rsidR="00A91CBC" w:rsidRPr="009A58F9" w:rsidRDefault="00A91CBC" w:rsidP="005915DE">
            <w:pPr>
              <w:pStyle w:val="Bullet1"/>
              <w:numPr>
                <w:ilvl w:val="0"/>
                <w:numId w:val="0"/>
              </w:numPr>
              <w:spacing w:after="0"/>
              <w:contextualSpacing/>
            </w:pPr>
            <w:r w:rsidRPr="009A58F9">
              <w:t>If wood fences are used, the homeowners’ association or adjacent lot owners assume responsibility for fence maintenance.</w:t>
            </w:r>
          </w:p>
        </w:tc>
      </w:tr>
      <w:tr w:rsidR="00A91CBC" w:rsidRPr="00B36276" w14:paraId="20C41646" w14:textId="77777777" w:rsidTr="00A91CBC">
        <w:trPr>
          <w:trHeight w:val="20"/>
        </w:trPr>
        <w:tc>
          <w:tcPr>
            <w:tcW w:w="720" w:type="dxa"/>
            <w:tcBorders>
              <w:top w:val="single" w:sz="4" w:space="0" w:color="auto"/>
              <w:bottom w:val="single" w:sz="4" w:space="0" w:color="auto"/>
            </w:tcBorders>
            <w:shd w:val="clear" w:color="auto" w:fill="auto"/>
            <w:vAlign w:val="center"/>
          </w:tcPr>
          <w:p w14:paraId="38F630E1"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7BDF25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D07D6B1" w14:textId="16E98557" w:rsidR="00A91CBC" w:rsidRPr="009A58F9" w:rsidRDefault="00A91CBC" w:rsidP="00BA5628">
            <w:pPr>
              <w:pStyle w:val="Bullet1"/>
              <w:numPr>
                <w:ilvl w:val="0"/>
                <w:numId w:val="0"/>
              </w:numPr>
              <w:spacing w:after="0"/>
              <w:contextualSpacing/>
            </w:pPr>
            <w:r w:rsidRPr="009A58F9">
              <w:t>Wood fences have pressure treated posts (ground contact rated) either set in 24</w:t>
            </w:r>
            <w:r w:rsidRPr="009A58F9">
              <w:noBreakHyphen/>
              <w:t xml:space="preserve">inch deep concrete footings or attached to footings by galvanized brackets. </w:t>
            </w:r>
          </w:p>
        </w:tc>
      </w:tr>
      <w:tr w:rsidR="00A91CBC" w:rsidRPr="00B36276" w14:paraId="552B8E56" w14:textId="77777777" w:rsidTr="00A91CBC">
        <w:trPr>
          <w:trHeight w:val="20"/>
        </w:trPr>
        <w:tc>
          <w:tcPr>
            <w:tcW w:w="720" w:type="dxa"/>
            <w:tcBorders>
              <w:top w:val="single" w:sz="4" w:space="0" w:color="auto"/>
              <w:bottom w:val="single" w:sz="4" w:space="0" w:color="auto"/>
            </w:tcBorders>
            <w:shd w:val="clear" w:color="auto" w:fill="auto"/>
            <w:vAlign w:val="center"/>
          </w:tcPr>
          <w:p w14:paraId="14A8698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BE5D570"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B39D84B" w14:textId="7BAFF7D0" w:rsidR="00A91CBC" w:rsidRPr="009A58F9" w:rsidRDefault="00A91CBC" w:rsidP="00BA5628">
            <w:pPr>
              <w:pStyle w:val="Bullet1"/>
              <w:numPr>
                <w:ilvl w:val="0"/>
                <w:numId w:val="0"/>
              </w:numPr>
              <w:spacing w:after="0"/>
              <w:contextualSpacing/>
              <w:rPr>
                <w:b/>
              </w:rPr>
            </w:pPr>
            <w:r w:rsidRPr="009A58F9">
              <w:t>Rails and fence boards are cedar, pressure-treated fir, or hemlock.</w:t>
            </w:r>
          </w:p>
        </w:tc>
      </w:tr>
      <w:tr w:rsidR="00A91CBC" w:rsidRPr="00B36276" w14:paraId="44EBF14D" w14:textId="77777777" w:rsidTr="00A91CBC">
        <w:trPr>
          <w:trHeight w:val="20"/>
        </w:trPr>
        <w:tc>
          <w:tcPr>
            <w:tcW w:w="720" w:type="dxa"/>
            <w:tcBorders>
              <w:top w:val="single" w:sz="4" w:space="0" w:color="auto"/>
              <w:bottom w:val="single" w:sz="4" w:space="0" w:color="auto"/>
            </w:tcBorders>
            <w:shd w:val="clear" w:color="auto" w:fill="DBE5F1" w:themeFill="accent1" w:themeFillTint="33"/>
            <w:vAlign w:val="center"/>
          </w:tcPr>
          <w:p w14:paraId="58CFB14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32D0E40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12C905B0" w14:textId="7DE50EDB" w:rsidR="00A91CBC" w:rsidRPr="00A2466C" w:rsidRDefault="00A91CBC" w:rsidP="00BA5628">
            <w:pPr>
              <w:pStyle w:val="Bullet1"/>
              <w:numPr>
                <w:ilvl w:val="0"/>
                <w:numId w:val="0"/>
              </w:numPr>
              <w:spacing w:after="0"/>
              <w:contextualSpacing/>
              <w:jc w:val="center"/>
              <w:rPr>
                <w:b/>
              </w:rPr>
            </w:pPr>
            <w:r>
              <w:rPr>
                <w:b/>
              </w:rPr>
              <w:t>Signage</w:t>
            </w:r>
          </w:p>
        </w:tc>
      </w:tr>
      <w:tr w:rsidR="00A91CBC" w:rsidRPr="00B36276" w14:paraId="76C10595" w14:textId="77777777" w:rsidTr="00A91CBC">
        <w:trPr>
          <w:trHeight w:val="20"/>
        </w:trPr>
        <w:tc>
          <w:tcPr>
            <w:tcW w:w="720" w:type="dxa"/>
            <w:tcBorders>
              <w:top w:val="single" w:sz="4" w:space="0" w:color="auto"/>
              <w:bottom w:val="single" w:sz="4" w:space="0" w:color="auto"/>
            </w:tcBorders>
            <w:shd w:val="clear" w:color="auto" w:fill="auto"/>
            <w:vAlign w:val="center"/>
          </w:tcPr>
          <w:p w14:paraId="0DB2325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841CFA2"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FC72AC7" w14:textId="795821E3" w:rsidR="00A91CBC" w:rsidRPr="00A32E7C" w:rsidRDefault="00A91CBC" w:rsidP="00BA5628">
            <w:pPr>
              <w:pStyle w:val="Bullet1"/>
              <w:numPr>
                <w:ilvl w:val="0"/>
                <w:numId w:val="0"/>
              </w:numPr>
              <w:spacing w:after="0"/>
              <w:contextualSpacing/>
              <w:rPr>
                <w:b/>
                <w:highlight w:val="yellow"/>
              </w:rPr>
            </w:pPr>
            <w:r w:rsidRPr="005A4B5B">
              <w:t xml:space="preserve">A sign is placed with maximum visibility from adjacent streets, sidewalks, and paths. </w:t>
            </w:r>
          </w:p>
        </w:tc>
      </w:tr>
      <w:tr w:rsidR="00A91CBC" w:rsidRPr="00B36276" w14:paraId="1842666A" w14:textId="77777777" w:rsidTr="00A91CBC">
        <w:trPr>
          <w:trHeight w:val="20"/>
        </w:trPr>
        <w:tc>
          <w:tcPr>
            <w:tcW w:w="720" w:type="dxa"/>
            <w:tcBorders>
              <w:top w:val="single" w:sz="4" w:space="0" w:color="auto"/>
              <w:bottom w:val="single" w:sz="4" w:space="0" w:color="auto"/>
            </w:tcBorders>
            <w:shd w:val="clear" w:color="auto" w:fill="auto"/>
            <w:vAlign w:val="center"/>
          </w:tcPr>
          <w:p w14:paraId="6F278FC2"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BC2EB9A"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FD562F6" w14:textId="2EF5E305" w:rsidR="00A91CBC" w:rsidRPr="00A32E7C" w:rsidRDefault="00A91CBC" w:rsidP="00BA5628">
            <w:pPr>
              <w:pStyle w:val="Bullet1"/>
              <w:numPr>
                <w:ilvl w:val="0"/>
                <w:numId w:val="0"/>
              </w:numPr>
              <w:spacing w:after="0"/>
              <w:contextualSpacing/>
              <w:rPr>
                <w:highlight w:val="yellow"/>
              </w:rPr>
            </w:pPr>
            <w:r w:rsidRPr="005A4B5B">
              <w:t>For private facilities, the sign shows the owner’s name and contact information.</w:t>
            </w:r>
          </w:p>
        </w:tc>
      </w:tr>
      <w:tr w:rsidR="00A91CBC" w:rsidRPr="00B36276" w14:paraId="75CB0195" w14:textId="77777777" w:rsidTr="00A91CBC">
        <w:tc>
          <w:tcPr>
            <w:tcW w:w="720" w:type="dxa"/>
            <w:tcBorders>
              <w:top w:val="single" w:sz="4" w:space="0" w:color="auto"/>
              <w:bottom w:val="single" w:sz="4" w:space="0" w:color="auto"/>
            </w:tcBorders>
            <w:shd w:val="clear" w:color="auto" w:fill="DBE5F1" w:themeFill="accent1" w:themeFillTint="33"/>
            <w:vAlign w:val="center"/>
          </w:tcPr>
          <w:p w14:paraId="2DEEC12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3B74AF6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067947FA" w14:textId="215F5404" w:rsidR="00A91CBC" w:rsidRPr="00FC06CA" w:rsidRDefault="00A91CBC" w:rsidP="00BA5628">
            <w:pPr>
              <w:pStyle w:val="Bullet1"/>
              <w:numPr>
                <w:ilvl w:val="0"/>
                <w:numId w:val="0"/>
              </w:numPr>
              <w:spacing w:after="0"/>
              <w:contextualSpacing/>
              <w:jc w:val="center"/>
              <w:rPr>
                <w:b/>
              </w:rPr>
            </w:pPr>
            <w:r w:rsidRPr="00FC06CA">
              <w:rPr>
                <w:b/>
              </w:rPr>
              <w:t>Planting Requirements</w:t>
            </w:r>
          </w:p>
        </w:tc>
      </w:tr>
      <w:tr w:rsidR="00A91CBC" w:rsidRPr="00B36276" w14:paraId="32155257" w14:textId="77777777" w:rsidTr="00A91CBC">
        <w:tc>
          <w:tcPr>
            <w:tcW w:w="720" w:type="dxa"/>
            <w:tcBorders>
              <w:top w:val="single" w:sz="4" w:space="0" w:color="auto"/>
              <w:bottom w:val="single" w:sz="4" w:space="0" w:color="auto"/>
            </w:tcBorders>
            <w:shd w:val="clear" w:color="auto" w:fill="auto"/>
            <w:vAlign w:val="center"/>
          </w:tcPr>
          <w:p w14:paraId="7AFB84B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E200DD8"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EBFE086" w14:textId="584A692E" w:rsidR="00A91CBC" w:rsidRPr="00BA7EEF" w:rsidRDefault="00A91CBC" w:rsidP="00BA5628">
            <w:pPr>
              <w:pStyle w:val="Bullet1"/>
              <w:numPr>
                <w:ilvl w:val="0"/>
                <w:numId w:val="0"/>
              </w:numPr>
              <w:spacing w:after="0"/>
              <w:contextualSpacing/>
            </w:pPr>
            <w:r w:rsidRPr="00BA7EEF">
              <w:t>Sod or seed is planted on exposed earth on the pond bottom and interior sides with an appropriate seed mixture.</w:t>
            </w:r>
          </w:p>
        </w:tc>
      </w:tr>
      <w:tr w:rsidR="00A91CBC" w:rsidRPr="00B36276" w14:paraId="68A6FAC0" w14:textId="77777777" w:rsidTr="00A91CBC">
        <w:tc>
          <w:tcPr>
            <w:tcW w:w="720" w:type="dxa"/>
            <w:tcBorders>
              <w:top w:val="single" w:sz="4" w:space="0" w:color="auto"/>
              <w:bottom w:val="single" w:sz="4" w:space="0" w:color="auto"/>
            </w:tcBorders>
            <w:shd w:val="clear" w:color="auto" w:fill="auto"/>
            <w:vAlign w:val="center"/>
          </w:tcPr>
          <w:p w14:paraId="14F48B9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49B76B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5B265565" w14:textId="6D57938F" w:rsidR="00A91CBC" w:rsidRPr="00F236F4" w:rsidRDefault="00A91CBC" w:rsidP="005E1AFA">
            <w:pPr>
              <w:pStyle w:val="Bullet1"/>
              <w:numPr>
                <w:ilvl w:val="0"/>
                <w:numId w:val="0"/>
              </w:numPr>
              <w:spacing w:after="0"/>
              <w:contextualSpacing/>
            </w:pPr>
            <w:r w:rsidRPr="00F236F4">
              <w:t>All remaining areas of the tract are planted with grass or landscape and are covered with a 3</w:t>
            </w:r>
            <w:r w:rsidRPr="00F236F4">
              <w:noBreakHyphen/>
              <w:t>inch cover of hog fuel</w:t>
            </w:r>
            <w:r w:rsidR="002C1876">
              <w:t>,</w:t>
            </w:r>
            <w:r w:rsidRPr="00F236F4">
              <w:t xml:space="preserve"> shredded wood mulch</w:t>
            </w:r>
            <w:r w:rsidR="002C1876">
              <w:t xml:space="preserve">, or other appropriate </w:t>
            </w:r>
            <w:r w:rsidR="00783D43">
              <w:t>BMP as described in Volume II</w:t>
            </w:r>
            <w:r w:rsidRPr="00F236F4">
              <w:t>.</w:t>
            </w:r>
            <w:r w:rsidR="002C1876">
              <w:t xml:space="preserve"> </w:t>
            </w:r>
          </w:p>
        </w:tc>
      </w:tr>
      <w:tr w:rsidR="00A91CBC" w:rsidRPr="00B36276" w14:paraId="2D469DCC" w14:textId="77777777" w:rsidTr="00A91CBC">
        <w:tc>
          <w:tcPr>
            <w:tcW w:w="720" w:type="dxa"/>
            <w:tcBorders>
              <w:top w:val="single" w:sz="4" w:space="0" w:color="auto"/>
              <w:bottom w:val="single" w:sz="4" w:space="0" w:color="auto"/>
            </w:tcBorders>
            <w:shd w:val="clear" w:color="auto" w:fill="auto"/>
            <w:vAlign w:val="center"/>
          </w:tcPr>
          <w:p w14:paraId="7161E6C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3DED893"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727647C" w14:textId="20079934" w:rsidR="00A91CBC" w:rsidRPr="00F236F4" w:rsidRDefault="00A91CBC" w:rsidP="00BA5628">
            <w:pPr>
              <w:pStyle w:val="Bullet1"/>
              <w:numPr>
                <w:ilvl w:val="0"/>
                <w:numId w:val="0"/>
              </w:numPr>
              <w:spacing w:after="0"/>
              <w:contextualSpacing/>
            </w:pPr>
            <w:r w:rsidRPr="00F236F4">
              <w:t>Shredded wood mulch is made from shredded tree trimmings.</w:t>
            </w:r>
          </w:p>
        </w:tc>
      </w:tr>
      <w:tr w:rsidR="00A91CBC" w:rsidRPr="00B36276" w14:paraId="0C62E631" w14:textId="77777777" w:rsidTr="00A91CBC">
        <w:tc>
          <w:tcPr>
            <w:tcW w:w="720" w:type="dxa"/>
            <w:tcBorders>
              <w:top w:val="single" w:sz="4" w:space="0" w:color="auto"/>
              <w:bottom w:val="single" w:sz="4" w:space="0" w:color="auto"/>
            </w:tcBorders>
            <w:shd w:val="clear" w:color="auto" w:fill="auto"/>
            <w:vAlign w:val="center"/>
          </w:tcPr>
          <w:p w14:paraId="3CE3F3F5"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012DA18"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E458743" w14:textId="0B783332" w:rsidR="00A91CBC" w:rsidRPr="00BA7EEF" w:rsidRDefault="00A91CBC" w:rsidP="005915DE">
            <w:pPr>
              <w:pStyle w:val="Bullet1"/>
              <w:numPr>
                <w:ilvl w:val="0"/>
                <w:numId w:val="0"/>
              </w:numPr>
              <w:spacing w:after="0"/>
              <w:contextualSpacing/>
            </w:pPr>
            <w:r w:rsidRPr="00BA7EEF">
              <w:t>The mulch is free of garbage and weeds and does not contain excessive resin, tannin, or other material detrimental to plant growth.</w:t>
            </w:r>
          </w:p>
        </w:tc>
      </w:tr>
      <w:tr w:rsidR="00A91CBC" w:rsidRPr="00B36276" w14:paraId="10E29517" w14:textId="77777777" w:rsidTr="00A91CBC">
        <w:tc>
          <w:tcPr>
            <w:tcW w:w="720" w:type="dxa"/>
            <w:tcBorders>
              <w:top w:val="single" w:sz="4" w:space="0" w:color="auto"/>
              <w:bottom w:val="single" w:sz="4" w:space="0" w:color="auto"/>
            </w:tcBorders>
            <w:shd w:val="clear" w:color="auto" w:fill="auto"/>
            <w:vAlign w:val="center"/>
          </w:tcPr>
          <w:p w14:paraId="7CFDB133"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B83EF6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F84489C" w14:textId="65CF369E" w:rsidR="00A91CBC" w:rsidRPr="00BA7EEF" w:rsidRDefault="00A91CBC" w:rsidP="00BA5628">
            <w:pPr>
              <w:pStyle w:val="Bullet1"/>
              <w:numPr>
                <w:ilvl w:val="0"/>
                <w:numId w:val="0"/>
              </w:numPr>
              <w:spacing w:after="0"/>
              <w:contextualSpacing/>
            </w:pPr>
            <w:r w:rsidRPr="00BA7EEF">
              <w:t>Wood debris or wood treated with preservatives are not used for producing shredded wood mulch.</w:t>
            </w:r>
          </w:p>
        </w:tc>
      </w:tr>
      <w:tr w:rsidR="00A91CBC" w:rsidRPr="00B36276" w14:paraId="36FF7A50" w14:textId="77777777" w:rsidTr="00A91CBC">
        <w:tc>
          <w:tcPr>
            <w:tcW w:w="720" w:type="dxa"/>
            <w:tcBorders>
              <w:top w:val="single" w:sz="4" w:space="0" w:color="auto"/>
              <w:bottom w:val="single" w:sz="4" w:space="0" w:color="auto"/>
            </w:tcBorders>
            <w:shd w:val="clear" w:color="auto" w:fill="DBE5F1" w:themeFill="accent1" w:themeFillTint="33"/>
            <w:vAlign w:val="center"/>
          </w:tcPr>
          <w:p w14:paraId="4FC9BF2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DBE5F1" w:themeFill="accent1" w:themeFillTint="33"/>
          </w:tcPr>
          <w:p w14:paraId="09B7DDE5"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DBE5F1" w:themeFill="accent1" w:themeFillTint="33"/>
          </w:tcPr>
          <w:p w14:paraId="6DC844AC" w14:textId="5F65CF1D" w:rsidR="00A91CBC" w:rsidRPr="00573CFA" w:rsidRDefault="00A91CBC" w:rsidP="005915DE">
            <w:pPr>
              <w:pStyle w:val="Bullet1"/>
              <w:numPr>
                <w:ilvl w:val="0"/>
                <w:numId w:val="0"/>
              </w:numPr>
              <w:spacing w:after="0"/>
              <w:contextualSpacing/>
              <w:jc w:val="center"/>
            </w:pPr>
            <w:r w:rsidRPr="00FC06CA">
              <w:rPr>
                <w:b/>
              </w:rPr>
              <w:t>Landscaping</w:t>
            </w:r>
            <w:r>
              <w:rPr>
                <w:b/>
              </w:rPr>
              <w:t xml:space="preserve"> </w:t>
            </w:r>
          </w:p>
        </w:tc>
      </w:tr>
      <w:tr w:rsidR="00A91CBC" w:rsidRPr="00B36276" w14:paraId="0FC5FBAB" w14:textId="77777777" w:rsidTr="00A91CBC">
        <w:tc>
          <w:tcPr>
            <w:tcW w:w="720" w:type="dxa"/>
            <w:tcBorders>
              <w:top w:val="single" w:sz="4" w:space="0" w:color="auto"/>
              <w:bottom w:val="single" w:sz="4" w:space="0" w:color="auto"/>
            </w:tcBorders>
            <w:shd w:val="clear" w:color="auto" w:fill="F2F2F2" w:themeFill="background1" w:themeFillShade="F2"/>
            <w:vAlign w:val="center"/>
          </w:tcPr>
          <w:p w14:paraId="6698A01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F2F2F2" w:themeFill="background1" w:themeFillShade="F2"/>
          </w:tcPr>
          <w:p w14:paraId="084253D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F2F2F2" w:themeFill="background1" w:themeFillShade="F2"/>
          </w:tcPr>
          <w:p w14:paraId="739755DD" w14:textId="76A7BCB7" w:rsidR="00A91CBC" w:rsidRPr="00771BE1" w:rsidRDefault="00A91CBC" w:rsidP="00B321D4">
            <w:pPr>
              <w:pStyle w:val="Bullet1"/>
              <w:numPr>
                <w:ilvl w:val="0"/>
                <w:numId w:val="0"/>
              </w:numPr>
              <w:spacing w:after="0"/>
              <w:contextualSpacing/>
              <w:jc w:val="center"/>
              <w:rPr>
                <w:color w:val="FF0000"/>
              </w:rPr>
            </w:pPr>
            <w:r w:rsidRPr="00893FCE">
              <w:rPr>
                <w:b/>
              </w:rPr>
              <w:t xml:space="preserve">Planting on </w:t>
            </w:r>
            <w:r w:rsidRPr="005E1AFA">
              <w:rPr>
                <w:b/>
              </w:rPr>
              <w:t>Embankment</w:t>
            </w:r>
            <w:r w:rsidRPr="00893FCE">
              <w:rPr>
                <w:b/>
              </w:rPr>
              <w:t>s</w:t>
            </w:r>
          </w:p>
        </w:tc>
      </w:tr>
      <w:tr w:rsidR="00A91CBC" w:rsidRPr="00B36276" w14:paraId="0356C61D" w14:textId="77777777" w:rsidTr="00A91CBC">
        <w:tc>
          <w:tcPr>
            <w:tcW w:w="720" w:type="dxa"/>
            <w:tcBorders>
              <w:top w:val="single" w:sz="4" w:space="0" w:color="auto"/>
              <w:bottom w:val="single" w:sz="4" w:space="0" w:color="auto"/>
            </w:tcBorders>
            <w:shd w:val="clear" w:color="auto" w:fill="auto"/>
            <w:vAlign w:val="center"/>
          </w:tcPr>
          <w:p w14:paraId="03BAC4E9"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F20DBCA"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A9C9041" w14:textId="1CED2F4E" w:rsidR="00A91CBC" w:rsidRPr="00A32E7C" w:rsidRDefault="00A91CBC" w:rsidP="005E1AFA">
            <w:pPr>
              <w:pStyle w:val="Bullet1"/>
              <w:numPr>
                <w:ilvl w:val="0"/>
                <w:numId w:val="0"/>
              </w:numPr>
              <w:spacing w:after="0"/>
              <w:contextualSpacing/>
              <w:rPr>
                <w:highlight w:val="yellow"/>
              </w:rPr>
            </w:pPr>
            <w:r w:rsidRPr="00BA7EEF">
              <w:t>Trees or shrubs are not planted on embankments meeting the criteria of dams regulated for safety.</w:t>
            </w:r>
          </w:p>
        </w:tc>
      </w:tr>
      <w:tr w:rsidR="00A91CBC" w:rsidRPr="00B36276" w14:paraId="70E3C8C2" w14:textId="77777777" w:rsidTr="00A91CBC">
        <w:tc>
          <w:tcPr>
            <w:tcW w:w="720" w:type="dxa"/>
            <w:tcBorders>
              <w:top w:val="single" w:sz="4" w:space="0" w:color="auto"/>
              <w:bottom w:val="single" w:sz="4" w:space="0" w:color="auto"/>
            </w:tcBorders>
            <w:shd w:val="clear" w:color="auto" w:fill="auto"/>
            <w:vAlign w:val="center"/>
          </w:tcPr>
          <w:p w14:paraId="578FDDD7"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53E5F24"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4D4C059" w14:textId="400EC24E" w:rsidR="00A91CBC" w:rsidRPr="00BA7EEF" w:rsidRDefault="00A91CBC" w:rsidP="00BA5628">
            <w:pPr>
              <w:pStyle w:val="Bullet1"/>
              <w:numPr>
                <w:ilvl w:val="0"/>
                <w:numId w:val="0"/>
              </w:numPr>
              <w:spacing w:after="0"/>
              <w:contextualSpacing/>
            </w:pPr>
            <w:r w:rsidRPr="00BA7EEF">
              <w:t xml:space="preserve">Trees or shrubs are not planted within </w:t>
            </w:r>
            <w:r w:rsidR="00BA7EEF" w:rsidRPr="00BA7EEF">
              <w:t>25</w:t>
            </w:r>
            <w:r w:rsidRPr="00BA7EEF">
              <w:t xml:space="preserve"> feet of inlet or outlet pipes or manmade drainage structures, such as spillways or flow spreaders. </w:t>
            </w:r>
          </w:p>
        </w:tc>
      </w:tr>
      <w:tr w:rsidR="00A91CBC" w:rsidRPr="00B36276" w14:paraId="5E85E88C" w14:textId="77777777" w:rsidTr="00A91CBC">
        <w:tc>
          <w:tcPr>
            <w:tcW w:w="720" w:type="dxa"/>
            <w:tcBorders>
              <w:top w:val="single" w:sz="4" w:space="0" w:color="auto"/>
              <w:bottom w:val="single" w:sz="4" w:space="0" w:color="auto"/>
            </w:tcBorders>
            <w:shd w:val="clear" w:color="auto" w:fill="auto"/>
            <w:vAlign w:val="center"/>
          </w:tcPr>
          <w:p w14:paraId="7C9CB80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234D94FB"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25914F5" w14:textId="32A85EC6" w:rsidR="00A91CBC" w:rsidRPr="00A32E7C" w:rsidRDefault="00A91CBC" w:rsidP="00BA5628">
            <w:pPr>
              <w:pStyle w:val="Bullet1"/>
              <w:numPr>
                <w:ilvl w:val="0"/>
                <w:numId w:val="0"/>
              </w:numPr>
              <w:spacing w:after="0"/>
              <w:contextualSpacing/>
              <w:rPr>
                <w:highlight w:val="yellow"/>
              </w:rPr>
            </w:pPr>
            <w:r w:rsidRPr="00BA7EEF">
              <w:t>Tree or shrub species with roots that seek water, such as willow or poplar, are not planted within 50 feet of pipes or manmade structures.</w:t>
            </w:r>
          </w:p>
        </w:tc>
      </w:tr>
      <w:tr w:rsidR="00A91CBC" w:rsidRPr="00B36276" w14:paraId="305F5840" w14:textId="77777777" w:rsidTr="00A91CBC">
        <w:tc>
          <w:tcPr>
            <w:tcW w:w="720" w:type="dxa"/>
            <w:tcBorders>
              <w:top w:val="single" w:sz="4" w:space="0" w:color="auto"/>
              <w:bottom w:val="single" w:sz="4" w:space="0" w:color="auto"/>
            </w:tcBorders>
            <w:shd w:val="clear" w:color="auto" w:fill="auto"/>
            <w:vAlign w:val="center"/>
          </w:tcPr>
          <w:p w14:paraId="5ABEBB80"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22BFED5"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4CDC0958" w14:textId="18B778B0" w:rsidR="00A91CBC" w:rsidRPr="00A32E7C" w:rsidRDefault="00A91CBC" w:rsidP="005915DE">
            <w:pPr>
              <w:pStyle w:val="Bullet1"/>
              <w:numPr>
                <w:ilvl w:val="0"/>
                <w:numId w:val="0"/>
              </w:numPr>
              <w:spacing w:after="0"/>
              <w:contextualSpacing/>
              <w:rPr>
                <w:highlight w:val="yellow"/>
              </w:rPr>
            </w:pPr>
            <w:r w:rsidRPr="00BA7EEF">
              <w:t>Landscaping is not located on embankments that impound water permanently or temporarily during storms. (This restriction does not apply to cut slopes that form pond banks, only to embankments.)</w:t>
            </w:r>
          </w:p>
        </w:tc>
      </w:tr>
      <w:tr w:rsidR="00A91CBC" w:rsidRPr="00B36276" w14:paraId="5D500702" w14:textId="77777777" w:rsidTr="00A91CBC">
        <w:tc>
          <w:tcPr>
            <w:tcW w:w="720" w:type="dxa"/>
            <w:tcBorders>
              <w:top w:val="single" w:sz="4" w:space="0" w:color="auto"/>
              <w:bottom w:val="single" w:sz="4" w:space="0" w:color="auto"/>
            </w:tcBorders>
            <w:shd w:val="clear" w:color="auto" w:fill="auto"/>
            <w:vAlign w:val="center"/>
          </w:tcPr>
          <w:p w14:paraId="6C8B451C"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35E7228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7F258443" w14:textId="2F6FCA3D" w:rsidR="00A91CBC" w:rsidRPr="00BA7EEF" w:rsidRDefault="00A91CBC">
            <w:pPr>
              <w:pStyle w:val="Bullet2"/>
              <w:numPr>
                <w:ilvl w:val="0"/>
                <w:numId w:val="0"/>
              </w:numPr>
              <w:spacing w:after="0"/>
              <w:contextualSpacing/>
            </w:pPr>
            <w:r w:rsidRPr="00BA7EEF">
              <w:t>Only grasses are planted on portions of water</w:t>
            </w:r>
            <w:r w:rsidRPr="00BA7EEF">
              <w:noBreakHyphen/>
              <w:t>impounding embankments taller than 4 feet (trees and shrubs are not allowed).</w:t>
            </w:r>
          </w:p>
        </w:tc>
      </w:tr>
      <w:tr w:rsidR="00A91CBC" w:rsidRPr="005915DE" w14:paraId="67BF75D1" w14:textId="77777777" w:rsidTr="00A91CBC">
        <w:tc>
          <w:tcPr>
            <w:tcW w:w="720" w:type="dxa"/>
            <w:tcBorders>
              <w:top w:val="single" w:sz="4" w:space="0" w:color="auto"/>
              <w:bottom w:val="single" w:sz="4" w:space="0" w:color="auto"/>
            </w:tcBorders>
            <w:shd w:val="clear" w:color="auto" w:fill="auto"/>
            <w:vAlign w:val="center"/>
          </w:tcPr>
          <w:p w14:paraId="6551145B" w14:textId="77777777" w:rsidR="00A91CBC" w:rsidRPr="005915DE"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286E456" w14:textId="77777777" w:rsidR="00A91CBC" w:rsidRPr="005915DE"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BF2AC0E" w14:textId="4EF66D8E" w:rsidR="00A91CBC" w:rsidRPr="00A32E7C" w:rsidRDefault="00A91CBC" w:rsidP="00BA5628">
            <w:pPr>
              <w:pStyle w:val="Bullet2"/>
              <w:numPr>
                <w:ilvl w:val="0"/>
                <w:numId w:val="0"/>
              </w:numPr>
              <w:spacing w:after="0"/>
              <w:contextualSpacing/>
              <w:rPr>
                <w:highlight w:val="yellow"/>
              </w:rPr>
            </w:pPr>
            <w:r w:rsidRPr="00BA7EEF">
              <w:t>Grasses allow unobstructed visibility of embankment slopes for detecting potential dam safety problems such as animal burrows, slumping, or fractures in the embankment.</w:t>
            </w:r>
          </w:p>
        </w:tc>
      </w:tr>
      <w:tr w:rsidR="00A91CBC" w:rsidRPr="00B36276" w14:paraId="1E60B223" w14:textId="77777777" w:rsidTr="00A91CBC">
        <w:tc>
          <w:tcPr>
            <w:tcW w:w="720" w:type="dxa"/>
            <w:tcBorders>
              <w:top w:val="single" w:sz="4" w:space="0" w:color="auto"/>
              <w:bottom w:val="single" w:sz="4" w:space="0" w:color="auto"/>
            </w:tcBorders>
            <w:shd w:val="clear" w:color="auto" w:fill="auto"/>
            <w:vAlign w:val="center"/>
          </w:tcPr>
          <w:p w14:paraId="103B7B9A"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55018EC6"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37CF14E0" w14:textId="385789EF" w:rsidR="00A91CBC" w:rsidRPr="00A32E7C" w:rsidRDefault="00A91CBC" w:rsidP="00BA5628">
            <w:pPr>
              <w:pStyle w:val="Bullet2"/>
              <w:numPr>
                <w:ilvl w:val="0"/>
                <w:numId w:val="0"/>
              </w:numPr>
              <w:spacing w:after="0"/>
              <w:contextualSpacing/>
              <w:rPr>
                <w:highlight w:val="yellow"/>
              </w:rPr>
            </w:pPr>
            <w:r w:rsidRPr="00BA7EEF">
              <w:t>Trees planted on portions of water-impounding embankments less than 4 feet high are not higher than 20 feet mature height, and have a fibrous root system.</w:t>
            </w:r>
          </w:p>
        </w:tc>
      </w:tr>
      <w:tr w:rsidR="00A91CBC" w:rsidRPr="005915DE" w14:paraId="3DF14DF6" w14:textId="77777777" w:rsidTr="00A91CBC">
        <w:tc>
          <w:tcPr>
            <w:tcW w:w="720" w:type="dxa"/>
            <w:tcBorders>
              <w:top w:val="single" w:sz="4" w:space="0" w:color="auto"/>
              <w:bottom w:val="single" w:sz="4" w:space="0" w:color="auto"/>
            </w:tcBorders>
            <w:shd w:val="clear" w:color="auto" w:fill="auto"/>
            <w:vAlign w:val="center"/>
          </w:tcPr>
          <w:p w14:paraId="4D62DA62" w14:textId="77777777" w:rsidR="00A91CBC" w:rsidRPr="005915DE"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6460BD33" w14:textId="77777777" w:rsidR="00A91CBC" w:rsidRPr="005915DE"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6E473CB8" w14:textId="53C4B77B" w:rsidR="00A91CBC" w:rsidRPr="00A32E7C" w:rsidRDefault="00A91CBC" w:rsidP="00BA5628">
            <w:pPr>
              <w:pStyle w:val="Bullet1"/>
              <w:numPr>
                <w:ilvl w:val="0"/>
                <w:numId w:val="0"/>
              </w:numPr>
              <w:spacing w:after="0"/>
              <w:contextualSpacing/>
              <w:rPr>
                <w:highlight w:val="yellow"/>
              </w:rPr>
            </w:pPr>
            <w:r w:rsidRPr="00BA7EEF">
              <w:t xml:space="preserve">All landscape material, including grass, is planted in </w:t>
            </w:r>
            <w:r w:rsidR="000C5E59">
              <w:t xml:space="preserve">soils in accordance with LID.02: Post-Construction Soil Quality and Depth </w:t>
            </w:r>
            <w:r w:rsidRPr="00BA7EEF">
              <w:t xml:space="preserve">. </w:t>
            </w:r>
          </w:p>
        </w:tc>
      </w:tr>
      <w:tr w:rsidR="00A91CBC" w:rsidRPr="00B36276" w14:paraId="3B2D5581" w14:textId="77777777" w:rsidTr="00A91CBC">
        <w:tc>
          <w:tcPr>
            <w:tcW w:w="720" w:type="dxa"/>
            <w:tcBorders>
              <w:top w:val="single" w:sz="4" w:space="0" w:color="auto"/>
              <w:bottom w:val="single" w:sz="4" w:space="0" w:color="auto"/>
            </w:tcBorders>
            <w:shd w:val="clear" w:color="auto" w:fill="F2F2F2" w:themeFill="background1" w:themeFillShade="F2"/>
            <w:vAlign w:val="center"/>
          </w:tcPr>
          <w:p w14:paraId="6A22837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F2F2F2" w:themeFill="background1" w:themeFillShade="F2"/>
          </w:tcPr>
          <w:p w14:paraId="4919E5C9"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F2F2F2" w:themeFill="background1" w:themeFillShade="F2"/>
          </w:tcPr>
          <w:p w14:paraId="01913866" w14:textId="730F39CD" w:rsidR="00A91CBC" w:rsidRPr="00771BE1" w:rsidRDefault="00A91CBC" w:rsidP="005915DE">
            <w:pPr>
              <w:pStyle w:val="Bullet1"/>
              <w:numPr>
                <w:ilvl w:val="0"/>
                <w:numId w:val="0"/>
              </w:numPr>
              <w:spacing w:after="0"/>
              <w:contextualSpacing/>
              <w:jc w:val="center"/>
            </w:pPr>
            <w:r w:rsidRPr="00893FCE">
              <w:rPr>
                <w:b/>
              </w:rPr>
              <w:t>Soil Amendment</w:t>
            </w:r>
          </w:p>
        </w:tc>
      </w:tr>
      <w:tr w:rsidR="00A91CBC" w:rsidRPr="00B36276" w14:paraId="1DE63606" w14:textId="77777777" w:rsidTr="00A91CBC">
        <w:tc>
          <w:tcPr>
            <w:tcW w:w="720" w:type="dxa"/>
            <w:tcBorders>
              <w:top w:val="single" w:sz="4" w:space="0" w:color="auto"/>
              <w:bottom w:val="single" w:sz="4" w:space="0" w:color="auto"/>
            </w:tcBorders>
            <w:shd w:val="clear" w:color="auto" w:fill="auto"/>
            <w:vAlign w:val="center"/>
          </w:tcPr>
          <w:p w14:paraId="71E7303B"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4D3229F7"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880BD2D" w14:textId="4CE60098" w:rsidR="00A91CBC" w:rsidRPr="00A32E7C" w:rsidRDefault="00A91CBC" w:rsidP="005E1AFA">
            <w:pPr>
              <w:pStyle w:val="Bullet1"/>
              <w:numPr>
                <w:ilvl w:val="0"/>
                <w:numId w:val="0"/>
              </w:numPr>
              <w:spacing w:after="0"/>
              <w:contextualSpacing/>
              <w:rPr>
                <w:highlight w:val="yellow"/>
              </w:rPr>
            </w:pPr>
            <w:r w:rsidRPr="00F236F4">
              <w:t xml:space="preserve">If native underlying soils are used for planting, native soils are amended in accordance with </w:t>
            </w:r>
            <w:r w:rsidR="00BA7EEF" w:rsidRPr="00F236F4">
              <w:t>BMP LID.02</w:t>
            </w:r>
            <w:r w:rsidR="00F236F4" w:rsidRPr="00F236F4">
              <w:t>:</w:t>
            </w:r>
            <w:r w:rsidR="00BA7EEF" w:rsidRPr="00F236F4">
              <w:t xml:space="preserve"> Post-Construction Soil Quality and Depth</w:t>
            </w:r>
            <w:r w:rsidRPr="00F236F4">
              <w:t>.</w:t>
            </w:r>
          </w:p>
        </w:tc>
      </w:tr>
      <w:tr w:rsidR="00A91CBC" w:rsidRPr="00B36276" w14:paraId="69FD7773" w14:textId="77777777" w:rsidTr="00A91CBC">
        <w:tc>
          <w:tcPr>
            <w:tcW w:w="720" w:type="dxa"/>
            <w:tcBorders>
              <w:top w:val="single" w:sz="4" w:space="0" w:color="auto"/>
              <w:bottom w:val="single" w:sz="4" w:space="0" w:color="auto"/>
            </w:tcBorders>
            <w:shd w:val="clear" w:color="auto" w:fill="auto"/>
            <w:vAlign w:val="center"/>
          </w:tcPr>
          <w:p w14:paraId="775ED09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0B74F9B0"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219B9DB2" w14:textId="556EC01A" w:rsidR="00A91CBC" w:rsidRPr="00BA7EEF" w:rsidRDefault="00A91CBC">
            <w:pPr>
              <w:pStyle w:val="Bullet1"/>
              <w:numPr>
                <w:ilvl w:val="0"/>
                <w:numId w:val="0"/>
              </w:numPr>
              <w:spacing w:after="0"/>
              <w:contextualSpacing/>
            </w:pPr>
            <w:r w:rsidRPr="00BA7EEF">
              <w:t>Additional enrichment or compost top-dressing is provided for shrubs and trees as recommended by a landscape professional or arborist.</w:t>
            </w:r>
          </w:p>
        </w:tc>
      </w:tr>
      <w:tr w:rsidR="00A91CBC" w:rsidRPr="00B36276" w14:paraId="5C849E62" w14:textId="77777777" w:rsidTr="00A91CBC">
        <w:tc>
          <w:tcPr>
            <w:tcW w:w="720" w:type="dxa"/>
            <w:tcBorders>
              <w:top w:val="single" w:sz="4" w:space="0" w:color="auto"/>
              <w:bottom w:val="single" w:sz="4" w:space="0" w:color="auto"/>
            </w:tcBorders>
            <w:shd w:val="clear" w:color="auto" w:fill="auto"/>
            <w:vAlign w:val="center"/>
          </w:tcPr>
          <w:p w14:paraId="0D230CB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14AB6ABA"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0C6992F5" w14:textId="6C370B24" w:rsidR="00A91CBC" w:rsidRPr="00BA7EEF" w:rsidRDefault="00A91CBC" w:rsidP="00BA5628">
            <w:pPr>
              <w:pStyle w:val="Bullet1"/>
              <w:numPr>
                <w:ilvl w:val="0"/>
                <w:numId w:val="0"/>
              </w:numPr>
              <w:spacing w:after="0"/>
              <w:contextualSpacing/>
            </w:pPr>
            <w:r w:rsidRPr="00BA7EEF">
              <w:t>Seed mixes meet the following requirements:</w:t>
            </w:r>
          </w:p>
          <w:p w14:paraId="2550B580" w14:textId="14CC80DC" w:rsidR="00A91CBC" w:rsidRPr="00BA7EEF" w:rsidRDefault="00A91CBC" w:rsidP="005915DE">
            <w:pPr>
              <w:pStyle w:val="Bullet1"/>
              <w:numPr>
                <w:ilvl w:val="0"/>
                <w:numId w:val="32"/>
              </w:numPr>
              <w:spacing w:after="0"/>
              <w:contextualSpacing/>
            </w:pPr>
            <w:r w:rsidRPr="00BA7EEF">
              <w:t>Dwarf tall rescue: 40%</w:t>
            </w:r>
          </w:p>
          <w:p w14:paraId="3C77FE9F" w14:textId="0478427B" w:rsidR="00A91CBC" w:rsidRPr="00BA7EEF" w:rsidRDefault="00A91CBC" w:rsidP="005915DE">
            <w:pPr>
              <w:pStyle w:val="Bullet1"/>
              <w:numPr>
                <w:ilvl w:val="0"/>
                <w:numId w:val="32"/>
              </w:numPr>
              <w:spacing w:after="0"/>
              <w:contextualSpacing/>
            </w:pPr>
            <w:r w:rsidRPr="00BA7EEF">
              <w:t>Dwarf perennial rye “Barclay:” 30%</w:t>
            </w:r>
          </w:p>
          <w:p w14:paraId="5202A698" w14:textId="149B11E6" w:rsidR="00A91CBC" w:rsidRPr="00BA7EEF" w:rsidRDefault="00A91CBC" w:rsidP="005915DE">
            <w:pPr>
              <w:pStyle w:val="Bullet1"/>
              <w:numPr>
                <w:ilvl w:val="0"/>
                <w:numId w:val="32"/>
              </w:numPr>
              <w:spacing w:after="0"/>
              <w:contextualSpacing/>
            </w:pPr>
            <w:r w:rsidRPr="00BA7EEF">
              <w:t>Red fescue: 25%</w:t>
            </w:r>
          </w:p>
          <w:p w14:paraId="0F2A156D" w14:textId="1C0A5449" w:rsidR="00A91CBC" w:rsidRPr="00BA7EEF" w:rsidRDefault="00A91CBC" w:rsidP="00421C3C">
            <w:pPr>
              <w:pStyle w:val="Bullet1"/>
              <w:numPr>
                <w:ilvl w:val="0"/>
                <w:numId w:val="32"/>
              </w:numPr>
              <w:spacing w:after="0"/>
              <w:contextualSpacing/>
            </w:pPr>
            <w:r w:rsidRPr="00BA7EEF">
              <w:t>Colonial bentgrass: 5%</w:t>
            </w:r>
          </w:p>
        </w:tc>
      </w:tr>
      <w:tr w:rsidR="00A91CBC" w:rsidRPr="00B36276" w14:paraId="31371869" w14:textId="77777777" w:rsidTr="00A91CBC">
        <w:tc>
          <w:tcPr>
            <w:tcW w:w="720" w:type="dxa"/>
            <w:tcBorders>
              <w:top w:val="single" w:sz="4" w:space="0" w:color="auto"/>
              <w:bottom w:val="single" w:sz="4" w:space="0" w:color="auto"/>
            </w:tcBorders>
            <w:shd w:val="clear" w:color="auto" w:fill="B8CCE4" w:themeFill="accent1" w:themeFillTint="66"/>
            <w:vAlign w:val="center"/>
          </w:tcPr>
          <w:p w14:paraId="3C0FE4D4"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B8CCE4" w:themeFill="accent1" w:themeFillTint="66"/>
          </w:tcPr>
          <w:p w14:paraId="48CA661E"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B8CCE4" w:themeFill="accent1" w:themeFillTint="66"/>
          </w:tcPr>
          <w:p w14:paraId="17BC6338" w14:textId="3B3AE9BE" w:rsidR="00A91CBC" w:rsidRDefault="00A91CBC" w:rsidP="00BA5628">
            <w:pPr>
              <w:contextualSpacing/>
              <w:jc w:val="center"/>
              <w:rPr>
                <w:rFonts w:ascii="Times New Roman" w:hAnsi="Times New Roman"/>
                <w:b/>
                <w:szCs w:val="24"/>
              </w:rPr>
            </w:pPr>
            <w:r w:rsidRPr="009360AF">
              <w:rPr>
                <w:rFonts w:ascii="Times New Roman" w:hAnsi="Times New Roman"/>
                <w:b/>
                <w:szCs w:val="24"/>
              </w:rPr>
              <w:t>INSPECTION CRITERIA</w:t>
            </w:r>
          </w:p>
        </w:tc>
      </w:tr>
      <w:tr w:rsidR="00A91CBC" w:rsidRPr="00B36276" w14:paraId="457FE7F5" w14:textId="77777777" w:rsidTr="00A91CBC">
        <w:tc>
          <w:tcPr>
            <w:tcW w:w="720" w:type="dxa"/>
            <w:tcBorders>
              <w:top w:val="single" w:sz="4" w:space="0" w:color="auto"/>
              <w:bottom w:val="single" w:sz="4" w:space="0" w:color="auto"/>
            </w:tcBorders>
            <w:shd w:val="clear" w:color="auto" w:fill="auto"/>
            <w:vAlign w:val="center"/>
          </w:tcPr>
          <w:p w14:paraId="4BB82E86" w14:textId="77777777" w:rsidR="00A91CBC" w:rsidRPr="00B36276" w:rsidRDefault="00A91CBC" w:rsidP="00BA5628">
            <w:pPr>
              <w:contextualSpacing/>
              <w:jc w:val="center"/>
              <w:rPr>
                <w:rFonts w:ascii="Times New Roman" w:hAnsi="Times New Roman"/>
                <w:b/>
                <w:szCs w:val="24"/>
              </w:rPr>
            </w:pPr>
          </w:p>
        </w:tc>
        <w:tc>
          <w:tcPr>
            <w:tcW w:w="720" w:type="dxa"/>
            <w:tcBorders>
              <w:top w:val="single" w:sz="4" w:space="0" w:color="auto"/>
              <w:bottom w:val="single" w:sz="4" w:space="0" w:color="auto"/>
            </w:tcBorders>
            <w:shd w:val="clear" w:color="auto" w:fill="auto"/>
          </w:tcPr>
          <w:p w14:paraId="73DDA8DD" w14:textId="77777777" w:rsidR="00A91CBC" w:rsidRPr="00B36276" w:rsidRDefault="00A91CBC" w:rsidP="00BA5628">
            <w:pPr>
              <w:contextualSpacing/>
              <w:jc w:val="center"/>
              <w:rPr>
                <w:rFonts w:ascii="Times New Roman" w:hAnsi="Times New Roman"/>
                <w:b/>
                <w:szCs w:val="24"/>
              </w:rPr>
            </w:pPr>
          </w:p>
        </w:tc>
        <w:tc>
          <w:tcPr>
            <w:tcW w:w="7249" w:type="dxa"/>
            <w:tcBorders>
              <w:top w:val="single" w:sz="4" w:space="0" w:color="auto"/>
              <w:bottom w:val="single" w:sz="4" w:space="0" w:color="auto"/>
            </w:tcBorders>
            <w:shd w:val="clear" w:color="auto" w:fill="auto"/>
          </w:tcPr>
          <w:p w14:paraId="19A40C7D" w14:textId="2D563704" w:rsidR="00A91CBC" w:rsidRDefault="00A91CBC" w:rsidP="00BA5628">
            <w:pPr>
              <w:contextualSpacing/>
              <w:rPr>
                <w:rFonts w:ascii="Times New Roman" w:hAnsi="Times New Roman"/>
                <w:b/>
                <w:szCs w:val="24"/>
              </w:rPr>
            </w:pPr>
            <w:r w:rsidRPr="009360AF">
              <w:rPr>
                <w:rFonts w:ascii="Times New Roman" w:hAnsi="Times New Roman"/>
                <w:szCs w:val="24"/>
              </w:rPr>
              <w:t xml:space="preserve">The </w:t>
            </w:r>
            <w:r>
              <w:rPr>
                <w:rFonts w:ascii="Times New Roman" w:hAnsi="Times New Roman"/>
                <w:szCs w:val="24"/>
              </w:rPr>
              <w:t>detention pond</w:t>
            </w:r>
            <w:r w:rsidRPr="009360AF">
              <w:rPr>
                <w:rFonts w:ascii="Times New Roman" w:hAnsi="Times New Roman"/>
                <w:szCs w:val="24"/>
              </w:rPr>
              <w:t xml:space="preserve"> meets applicable design and construction criteria (see in Design and Construction Criteria above).</w:t>
            </w:r>
          </w:p>
        </w:tc>
      </w:tr>
    </w:tbl>
    <w:p w14:paraId="5D493209" w14:textId="77777777" w:rsidR="00BF3A6E" w:rsidRPr="0040273E" w:rsidRDefault="00BF3A6E" w:rsidP="006714E1">
      <w:pPr>
        <w:rPr>
          <w:rFonts w:ascii="Times New Roman" w:hAnsi="Times New Roman"/>
        </w:rPr>
      </w:pPr>
    </w:p>
    <w:sectPr w:rsidR="00BF3A6E" w:rsidRPr="0040273E" w:rsidSect="0057523F">
      <w:headerReference w:type="default" r:id="rId11"/>
      <w:footerReference w:type="default" r:id="rId12"/>
      <w:headerReference w:type="first" r:id="rId13"/>
      <w:footerReference w:type="first" r:id="rId14"/>
      <w:pgSz w:w="12240" w:h="15840"/>
      <w:pgMar w:top="1152" w:right="1440" w:bottom="864"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4127" w14:textId="77777777" w:rsidR="00D134E5" w:rsidRDefault="00D134E5" w:rsidP="00753267">
      <w:r>
        <w:separator/>
      </w:r>
    </w:p>
  </w:endnote>
  <w:endnote w:type="continuationSeparator" w:id="0">
    <w:p w14:paraId="569027B4" w14:textId="77777777" w:rsidR="00D134E5" w:rsidRDefault="00D134E5"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89889"/>
      <w:docPartObj>
        <w:docPartGallery w:val="Page Numbers (Bottom of Page)"/>
        <w:docPartUnique/>
      </w:docPartObj>
    </w:sdtPr>
    <w:sdtEndPr>
      <w:rPr>
        <w:noProof/>
      </w:rPr>
    </w:sdtEndPr>
    <w:sdtContent>
      <w:p w14:paraId="404F835D" w14:textId="03D92109" w:rsidR="00F54355" w:rsidRDefault="00F54355">
        <w:pPr>
          <w:pStyle w:val="Footer"/>
          <w:jc w:val="center"/>
        </w:pPr>
        <w:r>
          <w:fldChar w:fldCharType="begin"/>
        </w:r>
        <w:r>
          <w:instrText xml:space="preserve"> PAGE   \* MERGEFORMAT </w:instrText>
        </w:r>
        <w:r>
          <w:fldChar w:fldCharType="separate"/>
        </w:r>
        <w:r w:rsidR="006D72BB">
          <w:rPr>
            <w:noProof/>
          </w:rPr>
          <w:t>7</w:t>
        </w:r>
        <w:r>
          <w:rPr>
            <w:noProof/>
          </w:rPr>
          <w:fldChar w:fldCharType="end"/>
        </w:r>
      </w:p>
    </w:sdtContent>
  </w:sdt>
  <w:p w14:paraId="23CD9F61" w14:textId="77777777" w:rsidR="00F54355" w:rsidRDefault="00F54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622704"/>
      <w:docPartObj>
        <w:docPartGallery w:val="Page Numbers (Bottom of Page)"/>
        <w:docPartUnique/>
      </w:docPartObj>
    </w:sdtPr>
    <w:sdtEndPr>
      <w:rPr>
        <w:noProof/>
      </w:rPr>
    </w:sdtEndPr>
    <w:sdtContent>
      <w:p w14:paraId="68F4D91E" w14:textId="4A658934" w:rsidR="00F54355" w:rsidRDefault="00F54355">
        <w:pPr>
          <w:pStyle w:val="Footer"/>
          <w:jc w:val="center"/>
        </w:pPr>
        <w:r>
          <w:fldChar w:fldCharType="begin"/>
        </w:r>
        <w:r>
          <w:instrText xml:space="preserve"> PAGE   \* MERGEFORMAT </w:instrText>
        </w:r>
        <w:r>
          <w:fldChar w:fldCharType="separate"/>
        </w:r>
        <w:r w:rsidR="006D72BB">
          <w:rPr>
            <w:noProof/>
          </w:rPr>
          <w:t>1</w:t>
        </w:r>
        <w:r>
          <w:rPr>
            <w:noProof/>
          </w:rPr>
          <w:fldChar w:fldCharType="end"/>
        </w:r>
      </w:p>
    </w:sdtContent>
  </w:sdt>
  <w:p w14:paraId="17E9894A" w14:textId="2A3EB99D" w:rsidR="00F54355" w:rsidRDefault="00F5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DE72" w14:textId="77777777" w:rsidR="00D134E5" w:rsidRDefault="00D134E5" w:rsidP="00753267">
      <w:r>
        <w:separator/>
      </w:r>
    </w:p>
  </w:footnote>
  <w:footnote w:type="continuationSeparator" w:id="0">
    <w:p w14:paraId="7B51F500" w14:textId="77777777" w:rsidR="00D134E5" w:rsidRDefault="00D134E5"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C519" w14:textId="33A65143" w:rsidR="00F54355" w:rsidRPr="001A2482" w:rsidRDefault="00F54355" w:rsidP="001A2482">
    <w:pPr>
      <w:tabs>
        <w:tab w:val="right" w:pos="9900"/>
      </w:tabs>
      <w:spacing w:before="100" w:beforeAutospacing="1" w:after="100" w:afterAutospacing="1"/>
      <w:contextualSpacing/>
      <w:jc w:val="right"/>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A262" w14:textId="09620320" w:rsidR="00F54355" w:rsidRDefault="00A91CBC" w:rsidP="00A91CBC">
    <w:pPr>
      <w:tabs>
        <w:tab w:val="right" w:pos="9900"/>
      </w:tabs>
      <w:spacing w:before="100" w:beforeAutospacing="1" w:after="100" w:afterAutospacing="1"/>
      <w:contextualSpacing/>
      <w:jc w:val="center"/>
    </w:pPr>
    <w:r w:rsidRPr="00A91CBC">
      <w:rPr>
        <w:rFonts w:ascii="Times New Roman" w:hAnsi="Times New Roman"/>
        <w:sz w:val="32"/>
        <w:szCs w:val="32"/>
      </w:rPr>
      <w:t>D.01 Detention Ponds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2D4D074"/>
    <w:lvl w:ilvl="0">
      <w:start w:val="1"/>
      <w:numFmt w:val="decimal"/>
      <w:pStyle w:val="ListNumber"/>
      <w:lvlText w:val="%1."/>
      <w:lvlJc w:val="left"/>
      <w:pPr>
        <w:tabs>
          <w:tab w:val="num" w:pos="360"/>
        </w:tabs>
        <w:ind w:left="360" w:hanging="360"/>
      </w:pPr>
    </w:lvl>
  </w:abstractNum>
  <w:abstractNum w:abstractNumId="1" w15:restartNumberingAfterBreak="0">
    <w:nsid w:val="03FC02A7"/>
    <w:multiLevelType w:val="hybridMultilevel"/>
    <w:tmpl w:val="911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7AEC"/>
    <w:multiLevelType w:val="hybridMultilevel"/>
    <w:tmpl w:val="FD5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3407"/>
    <w:multiLevelType w:val="hybridMultilevel"/>
    <w:tmpl w:val="627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7A35"/>
    <w:multiLevelType w:val="hybridMultilevel"/>
    <w:tmpl w:val="0F1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56F67"/>
    <w:multiLevelType w:val="hybridMultilevel"/>
    <w:tmpl w:val="20027332"/>
    <w:lvl w:ilvl="0" w:tplc="9844F8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2C30"/>
    <w:multiLevelType w:val="hybridMultilevel"/>
    <w:tmpl w:val="E66C6C40"/>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7" w15:restartNumberingAfterBreak="0">
    <w:nsid w:val="26BF2DA9"/>
    <w:multiLevelType w:val="hybridMultilevel"/>
    <w:tmpl w:val="CACE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E6B72"/>
    <w:multiLevelType w:val="hybridMultilevel"/>
    <w:tmpl w:val="88B4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45885"/>
    <w:multiLevelType w:val="hybridMultilevel"/>
    <w:tmpl w:val="7B6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790F"/>
    <w:multiLevelType w:val="hybridMultilevel"/>
    <w:tmpl w:val="2D4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60EA4"/>
    <w:multiLevelType w:val="hybridMultilevel"/>
    <w:tmpl w:val="8714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1D5231"/>
    <w:multiLevelType w:val="hybridMultilevel"/>
    <w:tmpl w:val="CC4E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613251"/>
    <w:multiLevelType w:val="hybridMultilevel"/>
    <w:tmpl w:val="08C2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20D30"/>
    <w:multiLevelType w:val="singleLevel"/>
    <w:tmpl w:val="E3FCCED8"/>
    <w:lvl w:ilvl="0">
      <w:start w:val="1"/>
      <w:numFmt w:val="bullet"/>
      <w:pStyle w:val="Bullet2"/>
      <w:lvlText w:val="o"/>
      <w:lvlJc w:val="left"/>
      <w:pPr>
        <w:tabs>
          <w:tab w:val="num" w:pos="3240"/>
        </w:tabs>
        <w:ind w:left="3240" w:hanging="360"/>
      </w:pPr>
      <w:rPr>
        <w:rFonts w:ascii="Courier New" w:hAnsi="Courier New" w:cs="Courier New" w:hint="default"/>
        <w:sz w:val="20"/>
      </w:rPr>
    </w:lvl>
  </w:abstractNum>
  <w:abstractNum w:abstractNumId="15" w15:restartNumberingAfterBreak="0">
    <w:nsid w:val="43961212"/>
    <w:multiLevelType w:val="hybridMultilevel"/>
    <w:tmpl w:val="D8A6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0A0693"/>
    <w:multiLevelType w:val="hybridMultilevel"/>
    <w:tmpl w:val="ED82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F61FE"/>
    <w:multiLevelType w:val="hybridMultilevel"/>
    <w:tmpl w:val="2D00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80EAB"/>
    <w:multiLevelType w:val="hybridMultilevel"/>
    <w:tmpl w:val="C68A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0861D4"/>
    <w:multiLevelType w:val="hybridMultilevel"/>
    <w:tmpl w:val="9D684D4C"/>
    <w:lvl w:ilvl="0" w:tplc="9844F8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51D76"/>
    <w:multiLevelType w:val="hybridMultilevel"/>
    <w:tmpl w:val="CBCE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AA91547"/>
    <w:multiLevelType w:val="hybridMultilevel"/>
    <w:tmpl w:val="B3565C88"/>
    <w:lvl w:ilvl="0" w:tplc="176AC65E">
      <w:start w:val="1"/>
      <w:numFmt w:val="bullet"/>
      <w:pStyle w:val="Bullet1"/>
      <w:lvlText w:val=""/>
      <w:lvlJc w:val="left"/>
      <w:pPr>
        <w:tabs>
          <w:tab w:val="num" w:pos="720"/>
        </w:tabs>
        <w:ind w:left="2880" w:hanging="720"/>
      </w:pPr>
      <w:rPr>
        <w:rFonts w:ascii="Symbol" w:hAnsi="Symbol" w:hint="default"/>
      </w:rPr>
    </w:lvl>
    <w:lvl w:ilvl="1" w:tplc="9458763A">
      <w:start w:val="1"/>
      <w:numFmt w:val="bullet"/>
      <w:lvlText w:val="o"/>
      <w:lvlJc w:val="left"/>
      <w:pPr>
        <w:tabs>
          <w:tab w:val="num" w:pos="1440"/>
        </w:tabs>
        <w:ind w:left="1440" w:hanging="360"/>
      </w:pPr>
      <w:rPr>
        <w:rFonts w:ascii="Courier New" w:hAnsi="Courier New" w:cs="Courier New" w:hint="default"/>
      </w:rPr>
    </w:lvl>
    <w:lvl w:ilvl="2" w:tplc="FC886F76">
      <w:start w:val="1"/>
      <w:numFmt w:val="bullet"/>
      <w:lvlText w:val=""/>
      <w:lvlJc w:val="left"/>
      <w:pPr>
        <w:tabs>
          <w:tab w:val="num" w:pos="2160"/>
        </w:tabs>
        <w:ind w:left="2160" w:hanging="360"/>
      </w:pPr>
      <w:rPr>
        <w:rFonts w:ascii="Wingdings" w:hAnsi="Wingdings" w:hint="default"/>
      </w:rPr>
    </w:lvl>
    <w:lvl w:ilvl="3" w:tplc="97F87108">
      <w:start w:val="1"/>
      <w:numFmt w:val="bullet"/>
      <w:lvlText w:val=""/>
      <w:lvlJc w:val="left"/>
      <w:pPr>
        <w:tabs>
          <w:tab w:val="num" w:pos="2880"/>
        </w:tabs>
        <w:ind w:left="2880" w:hanging="360"/>
      </w:pPr>
      <w:rPr>
        <w:rFonts w:ascii="Symbol" w:hAnsi="Symbol" w:hint="default"/>
      </w:rPr>
    </w:lvl>
    <w:lvl w:ilvl="4" w:tplc="B8D8D802">
      <w:start w:val="1"/>
      <w:numFmt w:val="bullet"/>
      <w:lvlText w:val="o"/>
      <w:lvlJc w:val="left"/>
      <w:pPr>
        <w:tabs>
          <w:tab w:val="num" w:pos="3600"/>
        </w:tabs>
        <w:ind w:left="3600" w:hanging="360"/>
      </w:pPr>
      <w:rPr>
        <w:rFonts w:ascii="Courier New" w:hAnsi="Courier New" w:cs="Courier New" w:hint="default"/>
      </w:rPr>
    </w:lvl>
    <w:lvl w:ilvl="5" w:tplc="72326476">
      <w:start w:val="1"/>
      <w:numFmt w:val="bullet"/>
      <w:lvlText w:val=""/>
      <w:lvlJc w:val="left"/>
      <w:pPr>
        <w:tabs>
          <w:tab w:val="num" w:pos="4320"/>
        </w:tabs>
        <w:ind w:left="4320" w:hanging="360"/>
      </w:pPr>
      <w:rPr>
        <w:rFonts w:ascii="Wingdings" w:hAnsi="Wingdings" w:hint="default"/>
      </w:rPr>
    </w:lvl>
    <w:lvl w:ilvl="6" w:tplc="63484B1C" w:tentative="1">
      <w:start w:val="1"/>
      <w:numFmt w:val="bullet"/>
      <w:lvlText w:val=""/>
      <w:lvlJc w:val="left"/>
      <w:pPr>
        <w:tabs>
          <w:tab w:val="num" w:pos="5040"/>
        </w:tabs>
        <w:ind w:left="5040" w:hanging="360"/>
      </w:pPr>
      <w:rPr>
        <w:rFonts w:ascii="Symbol" w:hAnsi="Symbol" w:hint="default"/>
      </w:rPr>
    </w:lvl>
    <w:lvl w:ilvl="7" w:tplc="E950398E" w:tentative="1">
      <w:start w:val="1"/>
      <w:numFmt w:val="bullet"/>
      <w:lvlText w:val="o"/>
      <w:lvlJc w:val="left"/>
      <w:pPr>
        <w:tabs>
          <w:tab w:val="num" w:pos="5760"/>
        </w:tabs>
        <w:ind w:left="5760" w:hanging="360"/>
      </w:pPr>
      <w:rPr>
        <w:rFonts w:ascii="Courier New" w:hAnsi="Courier New" w:cs="Courier New" w:hint="default"/>
      </w:rPr>
    </w:lvl>
    <w:lvl w:ilvl="8" w:tplc="55DE87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D3D7B"/>
    <w:multiLevelType w:val="hybridMultilevel"/>
    <w:tmpl w:val="A56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C1DCF"/>
    <w:multiLevelType w:val="hybridMultilevel"/>
    <w:tmpl w:val="80D4D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EB76E7"/>
    <w:multiLevelType w:val="hybridMultilevel"/>
    <w:tmpl w:val="BA2489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27" w15:restartNumberingAfterBreak="0">
    <w:nsid w:val="7E526418"/>
    <w:multiLevelType w:val="hybridMultilevel"/>
    <w:tmpl w:val="8CBCA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7"/>
  </w:num>
  <w:num w:numId="5">
    <w:abstractNumId w:val="14"/>
  </w:num>
  <w:num w:numId="6">
    <w:abstractNumId w:val="10"/>
  </w:num>
  <w:num w:numId="7">
    <w:abstractNumId w:val="2"/>
  </w:num>
  <w:num w:numId="8">
    <w:abstractNumId w:val="13"/>
  </w:num>
  <w:num w:numId="9">
    <w:abstractNumId w:val="6"/>
  </w:num>
  <w:num w:numId="10">
    <w:abstractNumId w:val="25"/>
  </w:num>
  <w:num w:numId="11">
    <w:abstractNumId w:val="0"/>
  </w:num>
  <w:num w:numId="12">
    <w:abstractNumId w:val="18"/>
  </w:num>
  <w:num w:numId="13">
    <w:abstractNumId w:val="21"/>
  </w:num>
  <w:num w:numId="14">
    <w:abstractNumId w:val="7"/>
  </w:num>
  <w:num w:numId="15">
    <w:abstractNumId w:val="4"/>
  </w:num>
  <w:num w:numId="16">
    <w:abstractNumId w:val="27"/>
  </w:num>
  <w:num w:numId="17">
    <w:abstractNumId w:val="20"/>
  </w:num>
  <w:num w:numId="18">
    <w:abstractNumId w:val="16"/>
  </w:num>
  <w:num w:numId="19">
    <w:abstractNumId w:val="12"/>
  </w:num>
  <w:num w:numId="20">
    <w:abstractNumId w:val="9"/>
  </w:num>
  <w:num w:numId="21">
    <w:abstractNumId w:val="8"/>
  </w:num>
  <w:num w:numId="22">
    <w:abstractNumId w:val="15"/>
  </w:num>
  <w:num w:numId="23">
    <w:abstractNumId w:val="11"/>
  </w:num>
  <w:num w:numId="24">
    <w:abstractNumId w:val="24"/>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1"/>
  </w:num>
  <w:num w:numId="32">
    <w:abstractNumId w:val="23"/>
  </w:num>
  <w:num w:numId="33">
    <w:abstractNumId w:val="22"/>
  </w:num>
  <w:num w:numId="34">
    <w:abstractNumId w:val="22"/>
  </w:num>
  <w:num w:numId="35">
    <w:abstractNumId w:val="3"/>
  </w:num>
  <w:num w:numId="36">
    <w:abstractNumId w:val="19"/>
  </w:num>
  <w:num w:numId="37">
    <w:abstractNumId w:val="5"/>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1228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04AD0"/>
    <w:rsid w:val="00016E56"/>
    <w:rsid w:val="00021A38"/>
    <w:rsid w:val="0002343F"/>
    <w:rsid w:val="00027190"/>
    <w:rsid w:val="000446C1"/>
    <w:rsid w:val="00053828"/>
    <w:rsid w:val="000618F3"/>
    <w:rsid w:val="00064C99"/>
    <w:rsid w:val="000674A1"/>
    <w:rsid w:val="0007129D"/>
    <w:rsid w:val="00075E67"/>
    <w:rsid w:val="00077052"/>
    <w:rsid w:val="00077152"/>
    <w:rsid w:val="00083512"/>
    <w:rsid w:val="0008393A"/>
    <w:rsid w:val="00086973"/>
    <w:rsid w:val="00087DFF"/>
    <w:rsid w:val="000905A8"/>
    <w:rsid w:val="000927D4"/>
    <w:rsid w:val="00095BA1"/>
    <w:rsid w:val="0009634E"/>
    <w:rsid w:val="0009712A"/>
    <w:rsid w:val="000A0269"/>
    <w:rsid w:val="000A2778"/>
    <w:rsid w:val="000A2DE2"/>
    <w:rsid w:val="000A33B9"/>
    <w:rsid w:val="000A5DEC"/>
    <w:rsid w:val="000C53B5"/>
    <w:rsid w:val="000C5E59"/>
    <w:rsid w:val="000C6BB7"/>
    <w:rsid w:val="000D1C7C"/>
    <w:rsid w:val="000D1D6A"/>
    <w:rsid w:val="000E0960"/>
    <w:rsid w:val="000E2143"/>
    <w:rsid w:val="000E2451"/>
    <w:rsid w:val="000E2CBA"/>
    <w:rsid w:val="000E6EA9"/>
    <w:rsid w:val="000F28FA"/>
    <w:rsid w:val="000F6B52"/>
    <w:rsid w:val="00111E8A"/>
    <w:rsid w:val="00111F8A"/>
    <w:rsid w:val="00114C38"/>
    <w:rsid w:val="001239CB"/>
    <w:rsid w:val="00127A6F"/>
    <w:rsid w:val="001317C8"/>
    <w:rsid w:val="001377FC"/>
    <w:rsid w:val="0015139F"/>
    <w:rsid w:val="001606D9"/>
    <w:rsid w:val="00164D44"/>
    <w:rsid w:val="00167827"/>
    <w:rsid w:val="00171C34"/>
    <w:rsid w:val="00176E9E"/>
    <w:rsid w:val="00176FEF"/>
    <w:rsid w:val="00177FCD"/>
    <w:rsid w:val="001843A6"/>
    <w:rsid w:val="0019341C"/>
    <w:rsid w:val="00194498"/>
    <w:rsid w:val="00195244"/>
    <w:rsid w:val="001A2482"/>
    <w:rsid w:val="001A4452"/>
    <w:rsid w:val="001A6C79"/>
    <w:rsid w:val="001A7EA3"/>
    <w:rsid w:val="001B061D"/>
    <w:rsid w:val="001B664C"/>
    <w:rsid w:val="001C11A0"/>
    <w:rsid w:val="001C7A4D"/>
    <w:rsid w:val="001D06CC"/>
    <w:rsid w:val="001D0D29"/>
    <w:rsid w:val="001D1BE4"/>
    <w:rsid w:val="001D23AC"/>
    <w:rsid w:val="001D2BE8"/>
    <w:rsid w:val="001D473D"/>
    <w:rsid w:val="001F3C59"/>
    <w:rsid w:val="001F4EBB"/>
    <w:rsid w:val="00202BDA"/>
    <w:rsid w:val="002034F5"/>
    <w:rsid w:val="00210087"/>
    <w:rsid w:val="002101DB"/>
    <w:rsid w:val="0021277D"/>
    <w:rsid w:val="002138E2"/>
    <w:rsid w:val="00213AAC"/>
    <w:rsid w:val="00226225"/>
    <w:rsid w:val="00226495"/>
    <w:rsid w:val="00231EBA"/>
    <w:rsid w:val="00232C71"/>
    <w:rsid w:val="00240495"/>
    <w:rsid w:val="002434DF"/>
    <w:rsid w:val="00246EBF"/>
    <w:rsid w:val="00247E38"/>
    <w:rsid w:val="00252B32"/>
    <w:rsid w:val="00272B65"/>
    <w:rsid w:val="00277208"/>
    <w:rsid w:val="00277D05"/>
    <w:rsid w:val="00281DF0"/>
    <w:rsid w:val="00291AA9"/>
    <w:rsid w:val="00296801"/>
    <w:rsid w:val="002974FE"/>
    <w:rsid w:val="002A1638"/>
    <w:rsid w:val="002A27B2"/>
    <w:rsid w:val="002A2CB8"/>
    <w:rsid w:val="002A3C27"/>
    <w:rsid w:val="002A4CD5"/>
    <w:rsid w:val="002A4DEA"/>
    <w:rsid w:val="002A5415"/>
    <w:rsid w:val="002A6C26"/>
    <w:rsid w:val="002B474F"/>
    <w:rsid w:val="002B476E"/>
    <w:rsid w:val="002B5910"/>
    <w:rsid w:val="002C0404"/>
    <w:rsid w:val="002C1876"/>
    <w:rsid w:val="002C1A23"/>
    <w:rsid w:val="002D175F"/>
    <w:rsid w:val="002D47A5"/>
    <w:rsid w:val="002E219D"/>
    <w:rsid w:val="002E4CF3"/>
    <w:rsid w:val="002F582B"/>
    <w:rsid w:val="00302E1A"/>
    <w:rsid w:val="00310592"/>
    <w:rsid w:val="00310EDD"/>
    <w:rsid w:val="003135C6"/>
    <w:rsid w:val="00333425"/>
    <w:rsid w:val="0034263E"/>
    <w:rsid w:val="00354EE6"/>
    <w:rsid w:val="00355F1B"/>
    <w:rsid w:val="0035749E"/>
    <w:rsid w:val="00364F8A"/>
    <w:rsid w:val="00372B68"/>
    <w:rsid w:val="00380D5B"/>
    <w:rsid w:val="00382B35"/>
    <w:rsid w:val="00382C64"/>
    <w:rsid w:val="003839A3"/>
    <w:rsid w:val="00385BD9"/>
    <w:rsid w:val="003907B9"/>
    <w:rsid w:val="003928CD"/>
    <w:rsid w:val="00397F14"/>
    <w:rsid w:val="003A1D65"/>
    <w:rsid w:val="003A2ACC"/>
    <w:rsid w:val="003A50EA"/>
    <w:rsid w:val="003A5977"/>
    <w:rsid w:val="003A7027"/>
    <w:rsid w:val="003B5817"/>
    <w:rsid w:val="003C06C9"/>
    <w:rsid w:val="003C1BCC"/>
    <w:rsid w:val="003C551E"/>
    <w:rsid w:val="003E541F"/>
    <w:rsid w:val="003E6C1E"/>
    <w:rsid w:val="003E7B51"/>
    <w:rsid w:val="0040273E"/>
    <w:rsid w:val="0040710E"/>
    <w:rsid w:val="004113A4"/>
    <w:rsid w:val="00412E9C"/>
    <w:rsid w:val="00413E98"/>
    <w:rsid w:val="00421130"/>
    <w:rsid w:val="00421C3C"/>
    <w:rsid w:val="00422E9C"/>
    <w:rsid w:val="00430048"/>
    <w:rsid w:val="00442BB6"/>
    <w:rsid w:val="00444B40"/>
    <w:rsid w:val="00450966"/>
    <w:rsid w:val="00451739"/>
    <w:rsid w:val="004535F6"/>
    <w:rsid w:val="00460CAC"/>
    <w:rsid w:val="0046258D"/>
    <w:rsid w:val="00463DC2"/>
    <w:rsid w:val="004728E1"/>
    <w:rsid w:val="004758AC"/>
    <w:rsid w:val="0048274C"/>
    <w:rsid w:val="00483BEF"/>
    <w:rsid w:val="00485F73"/>
    <w:rsid w:val="0049106E"/>
    <w:rsid w:val="004954D5"/>
    <w:rsid w:val="0049692E"/>
    <w:rsid w:val="004A4CBE"/>
    <w:rsid w:val="004B3757"/>
    <w:rsid w:val="004B5D04"/>
    <w:rsid w:val="004C38AC"/>
    <w:rsid w:val="004D19C8"/>
    <w:rsid w:val="004D5174"/>
    <w:rsid w:val="004F213A"/>
    <w:rsid w:val="00502A35"/>
    <w:rsid w:val="0050510B"/>
    <w:rsid w:val="005052C3"/>
    <w:rsid w:val="00512017"/>
    <w:rsid w:val="00512450"/>
    <w:rsid w:val="00515F25"/>
    <w:rsid w:val="00525237"/>
    <w:rsid w:val="0052660B"/>
    <w:rsid w:val="0052773D"/>
    <w:rsid w:val="00535795"/>
    <w:rsid w:val="0053710E"/>
    <w:rsid w:val="00543509"/>
    <w:rsid w:val="00551683"/>
    <w:rsid w:val="005545C8"/>
    <w:rsid w:val="0056433D"/>
    <w:rsid w:val="0057030A"/>
    <w:rsid w:val="00571432"/>
    <w:rsid w:val="005719A7"/>
    <w:rsid w:val="00573CFA"/>
    <w:rsid w:val="00574CB5"/>
    <w:rsid w:val="0057523F"/>
    <w:rsid w:val="005775B7"/>
    <w:rsid w:val="00581493"/>
    <w:rsid w:val="005855F9"/>
    <w:rsid w:val="00586F12"/>
    <w:rsid w:val="0058796C"/>
    <w:rsid w:val="005915DE"/>
    <w:rsid w:val="0059206F"/>
    <w:rsid w:val="00592ACB"/>
    <w:rsid w:val="00593BD4"/>
    <w:rsid w:val="005A3708"/>
    <w:rsid w:val="005A4B5B"/>
    <w:rsid w:val="005A4EB3"/>
    <w:rsid w:val="005A6D1F"/>
    <w:rsid w:val="005A7D7B"/>
    <w:rsid w:val="005B47C5"/>
    <w:rsid w:val="005C0DB6"/>
    <w:rsid w:val="005C4EE3"/>
    <w:rsid w:val="005C794D"/>
    <w:rsid w:val="005D0D80"/>
    <w:rsid w:val="005D0DF2"/>
    <w:rsid w:val="005D1BB1"/>
    <w:rsid w:val="005E1AB9"/>
    <w:rsid w:val="005E1AFA"/>
    <w:rsid w:val="005E3C5F"/>
    <w:rsid w:val="005F4026"/>
    <w:rsid w:val="005F7443"/>
    <w:rsid w:val="0060495C"/>
    <w:rsid w:val="0060561E"/>
    <w:rsid w:val="006105C5"/>
    <w:rsid w:val="00611719"/>
    <w:rsid w:val="00612E1D"/>
    <w:rsid w:val="00613FEF"/>
    <w:rsid w:val="00624599"/>
    <w:rsid w:val="006306E0"/>
    <w:rsid w:val="00644795"/>
    <w:rsid w:val="00647C59"/>
    <w:rsid w:val="006511C0"/>
    <w:rsid w:val="006542AF"/>
    <w:rsid w:val="00654B2C"/>
    <w:rsid w:val="00656FFC"/>
    <w:rsid w:val="00662499"/>
    <w:rsid w:val="00664550"/>
    <w:rsid w:val="0067120D"/>
    <w:rsid w:val="006714E1"/>
    <w:rsid w:val="00673EAF"/>
    <w:rsid w:val="00674F26"/>
    <w:rsid w:val="006848B7"/>
    <w:rsid w:val="00684906"/>
    <w:rsid w:val="006905DB"/>
    <w:rsid w:val="006A038D"/>
    <w:rsid w:val="006B6177"/>
    <w:rsid w:val="006B6465"/>
    <w:rsid w:val="006C2D7B"/>
    <w:rsid w:val="006C2F75"/>
    <w:rsid w:val="006D4AA4"/>
    <w:rsid w:val="006D5819"/>
    <w:rsid w:val="006D65CD"/>
    <w:rsid w:val="006D72BB"/>
    <w:rsid w:val="006E0AE9"/>
    <w:rsid w:val="006E2BC0"/>
    <w:rsid w:val="006E43AE"/>
    <w:rsid w:val="006F0F8B"/>
    <w:rsid w:val="006F1455"/>
    <w:rsid w:val="006F65BA"/>
    <w:rsid w:val="00707867"/>
    <w:rsid w:val="00716F6F"/>
    <w:rsid w:val="00717378"/>
    <w:rsid w:val="00725AFD"/>
    <w:rsid w:val="007309AF"/>
    <w:rsid w:val="00745C50"/>
    <w:rsid w:val="00751483"/>
    <w:rsid w:val="007519D9"/>
    <w:rsid w:val="00753267"/>
    <w:rsid w:val="00756B7D"/>
    <w:rsid w:val="0075769A"/>
    <w:rsid w:val="00761052"/>
    <w:rsid w:val="0076324A"/>
    <w:rsid w:val="0076475E"/>
    <w:rsid w:val="00764BE7"/>
    <w:rsid w:val="007714CE"/>
    <w:rsid w:val="00771A51"/>
    <w:rsid w:val="00771BE1"/>
    <w:rsid w:val="00775858"/>
    <w:rsid w:val="00783D43"/>
    <w:rsid w:val="00792B14"/>
    <w:rsid w:val="00792E4C"/>
    <w:rsid w:val="0079317F"/>
    <w:rsid w:val="00795B55"/>
    <w:rsid w:val="007A241C"/>
    <w:rsid w:val="007A2D22"/>
    <w:rsid w:val="007B1D89"/>
    <w:rsid w:val="007B23C4"/>
    <w:rsid w:val="007B2532"/>
    <w:rsid w:val="007B56E6"/>
    <w:rsid w:val="007C35E1"/>
    <w:rsid w:val="007D08E3"/>
    <w:rsid w:val="007D654D"/>
    <w:rsid w:val="007E286F"/>
    <w:rsid w:val="007F01E3"/>
    <w:rsid w:val="007F6FEB"/>
    <w:rsid w:val="007F7C47"/>
    <w:rsid w:val="00804114"/>
    <w:rsid w:val="0080476B"/>
    <w:rsid w:val="0080586D"/>
    <w:rsid w:val="0081158A"/>
    <w:rsid w:val="00813FD5"/>
    <w:rsid w:val="008224B7"/>
    <w:rsid w:val="00834B1C"/>
    <w:rsid w:val="00842F50"/>
    <w:rsid w:val="00843A8D"/>
    <w:rsid w:val="00857AE8"/>
    <w:rsid w:val="00861E2D"/>
    <w:rsid w:val="008729E4"/>
    <w:rsid w:val="00874F3B"/>
    <w:rsid w:val="00892B0F"/>
    <w:rsid w:val="008963B6"/>
    <w:rsid w:val="008A05C7"/>
    <w:rsid w:val="008A5EDE"/>
    <w:rsid w:val="008A6467"/>
    <w:rsid w:val="008B6F54"/>
    <w:rsid w:val="008C33D9"/>
    <w:rsid w:val="008C3983"/>
    <w:rsid w:val="008D493A"/>
    <w:rsid w:val="008D7052"/>
    <w:rsid w:val="008E03B2"/>
    <w:rsid w:val="008E47F4"/>
    <w:rsid w:val="008E630C"/>
    <w:rsid w:val="008E76B2"/>
    <w:rsid w:val="00901003"/>
    <w:rsid w:val="00905A08"/>
    <w:rsid w:val="009103DC"/>
    <w:rsid w:val="00923F8C"/>
    <w:rsid w:val="0093225B"/>
    <w:rsid w:val="009358D9"/>
    <w:rsid w:val="00950A84"/>
    <w:rsid w:val="0095157D"/>
    <w:rsid w:val="00953F2F"/>
    <w:rsid w:val="00955F8E"/>
    <w:rsid w:val="009571B4"/>
    <w:rsid w:val="0095752D"/>
    <w:rsid w:val="00960F6F"/>
    <w:rsid w:val="009619F4"/>
    <w:rsid w:val="00965053"/>
    <w:rsid w:val="00965DC8"/>
    <w:rsid w:val="00974559"/>
    <w:rsid w:val="00974914"/>
    <w:rsid w:val="00981AE2"/>
    <w:rsid w:val="00983605"/>
    <w:rsid w:val="00994EF1"/>
    <w:rsid w:val="00995052"/>
    <w:rsid w:val="00995BBE"/>
    <w:rsid w:val="009A4773"/>
    <w:rsid w:val="009A58F9"/>
    <w:rsid w:val="009A5E7B"/>
    <w:rsid w:val="009B503C"/>
    <w:rsid w:val="009B6D16"/>
    <w:rsid w:val="009C5859"/>
    <w:rsid w:val="009D1FE7"/>
    <w:rsid w:val="009D2D29"/>
    <w:rsid w:val="009D7347"/>
    <w:rsid w:val="009D7BE7"/>
    <w:rsid w:val="009E3D32"/>
    <w:rsid w:val="009E3E50"/>
    <w:rsid w:val="009E7696"/>
    <w:rsid w:val="009F44BC"/>
    <w:rsid w:val="009F6AAC"/>
    <w:rsid w:val="00A02C16"/>
    <w:rsid w:val="00A1387B"/>
    <w:rsid w:val="00A2466C"/>
    <w:rsid w:val="00A27190"/>
    <w:rsid w:val="00A31984"/>
    <w:rsid w:val="00A32E7C"/>
    <w:rsid w:val="00A33622"/>
    <w:rsid w:val="00A33C30"/>
    <w:rsid w:val="00A5191D"/>
    <w:rsid w:val="00A53AAF"/>
    <w:rsid w:val="00A6661A"/>
    <w:rsid w:val="00A773E0"/>
    <w:rsid w:val="00A77BF2"/>
    <w:rsid w:val="00A80DE1"/>
    <w:rsid w:val="00A8516C"/>
    <w:rsid w:val="00A91CBC"/>
    <w:rsid w:val="00A9715C"/>
    <w:rsid w:val="00AA0321"/>
    <w:rsid w:val="00AB601C"/>
    <w:rsid w:val="00AD3DAB"/>
    <w:rsid w:val="00AD6C82"/>
    <w:rsid w:val="00AE24A2"/>
    <w:rsid w:val="00AE45B9"/>
    <w:rsid w:val="00AE59C2"/>
    <w:rsid w:val="00AE7F4C"/>
    <w:rsid w:val="00AF0732"/>
    <w:rsid w:val="00B00ADD"/>
    <w:rsid w:val="00B03AB3"/>
    <w:rsid w:val="00B06378"/>
    <w:rsid w:val="00B117D6"/>
    <w:rsid w:val="00B12131"/>
    <w:rsid w:val="00B13922"/>
    <w:rsid w:val="00B26AD8"/>
    <w:rsid w:val="00B321D4"/>
    <w:rsid w:val="00B325FF"/>
    <w:rsid w:val="00B335DD"/>
    <w:rsid w:val="00B36276"/>
    <w:rsid w:val="00B41323"/>
    <w:rsid w:val="00B53AF9"/>
    <w:rsid w:val="00B53CED"/>
    <w:rsid w:val="00B64F3E"/>
    <w:rsid w:val="00B66225"/>
    <w:rsid w:val="00B663D2"/>
    <w:rsid w:val="00B82697"/>
    <w:rsid w:val="00B8497F"/>
    <w:rsid w:val="00B8587C"/>
    <w:rsid w:val="00B906EC"/>
    <w:rsid w:val="00B956F6"/>
    <w:rsid w:val="00BA02ED"/>
    <w:rsid w:val="00BA5628"/>
    <w:rsid w:val="00BA7EEF"/>
    <w:rsid w:val="00BB5451"/>
    <w:rsid w:val="00BC3006"/>
    <w:rsid w:val="00BC5770"/>
    <w:rsid w:val="00BE2FB0"/>
    <w:rsid w:val="00BF2E43"/>
    <w:rsid w:val="00BF3A6E"/>
    <w:rsid w:val="00C008B9"/>
    <w:rsid w:val="00C120A7"/>
    <w:rsid w:val="00C167D8"/>
    <w:rsid w:val="00C215FC"/>
    <w:rsid w:val="00C43B5D"/>
    <w:rsid w:val="00C53DD2"/>
    <w:rsid w:val="00C56648"/>
    <w:rsid w:val="00C56A01"/>
    <w:rsid w:val="00C61543"/>
    <w:rsid w:val="00C71697"/>
    <w:rsid w:val="00C74096"/>
    <w:rsid w:val="00C819FD"/>
    <w:rsid w:val="00C871D2"/>
    <w:rsid w:val="00C92059"/>
    <w:rsid w:val="00C932C1"/>
    <w:rsid w:val="00C978DC"/>
    <w:rsid w:val="00CA47DB"/>
    <w:rsid w:val="00CA5045"/>
    <w:rsid w:val="00CB1426"/>
    <w:rsid w:val="00CB2279"/>
    <w:rsid w:val="00CB330E"/>
    <w:rsid w:val="00CC08AB"/>
    <w:rsid w:val="00CC1EE4"/>
    <w:rsid w:val="00CC544C"/>
    <w:rsid w:val="00CC695F"/>
    <w:rsid w:val="00CC6C00"/>
    <w:rsid w:val="00CD568C"/>
    <w:rsid w:val="00CE0A70"/>
    <w:rsid w:val="00CE58B6"/>
    <w:rsid w:val="00CE68A6"/>
    <w:rsid w:val="00CF193C"/>
    <w:rsid w:val="00CF21CB"/>
    <w:rsid w:val="00CF2CA9"/>
    <w:rsid w:val="00CF4F3D"/>
    <w:rsid w:val="00D057F0"/>
    <w:rsid w:val="00D12021"/>
    <w:rsid w:val="00D13273"/>
    <w:rsid w:val="00D134E5"/>
    <w:rsid w:val="00D22B49"/>
    <w:rsid w:val="00D41761"/>
    <w:rsid w:val="00D41FE9"/>
    <w:rsid w:val="00D508B1"/>
    <w:rsid w:val="00D53B82"/>
    <w:rsid w:val="00D56975"/>
    <w:rsid w:val="00D62936"/>
    <w:rsid w:val="00D6309B"/>
    <w:rsid w:val="00D66C3F"/>
    <w:rsid w:val="00D73B59"/>
    <w:rsid w:val="00D74D2D"/>
    <w:rsid w:val="00D75F0F"/>
    <w:rsid w:val="00D81B78"/>
    <w:rsid w:val="00D82895"/>
    <w:rsid w:val="00D85141"/>
    <w:rsid w:val="00D869E1"/>
    <w:rsid w:val="00D90198"/>
    <w:rsid w:val="00D93881"/>
    <w:rsid w:val="00DA3595"/>
    <w:rsid w:val="00DB292F"/>
    <w:rsid w:val="00DC743B"/>
    <w:rsid w:val="00DD2974"/>
    <w:rsid w:val="00DD37FB"/>
    <w:rsid w:val="00DD6448"/>
    <w:rsid w:val="00DD74EA"/>
    <w:rsid w:val="00DE3AFC"/>
    <w:rsid w:val="00DE3D28"/>
    <w:rsid w:val="00DE49A8"/>
    <w:rsid w:val="00DE4F83"/>
    <w:rsid w:val="00DF121E"/>
    <w:rsid w:val="00DF2BC3"/>
    <w:rsid w:val="00DF4FB8"/>
    <w:rsid w:val="00E008A0"/>
    <w:rsid w:val="00E0098D"/>
    <w:rsid w:val="00E0173E"/>
    <w:rsid w:val="00E13CEF"/>
    <w:rsid w:val="00E17E56"/>
    <w:rsid w:val="00E24A09"/>
    <w:rsid w:val="00E37811"/>
    <w:rsid w:val="00E478A6"/>
    <w:rsid w:val="00E51EB6"/>
    <w:rsid w:val="00E561B4"/>
    <w:rsid w:val="00E617E0"/>
    <w:rsid w:val="00E63338"/>
    <w:rsid w:val="00E71C20"/>
    <w:rsid w:val="00E749F9"/>
    <w:rsid w:val="00E75E4C"/>
    <w:rsid w:val="00E809D1"/>
    <w:rsid w:val="00E919C7"/>
    <w:rsid w:val="00E9456D"/>
    <w:rsid w:val="00E94F68"/>
    <w:rsid w:val="00EA2B3F"/>
    <w:rsid w:val="00EA3F34"/>
    <w:rsid w:val="00EA440F"/>
    <w:rsid w:val="00EA64DC"/>
    <w:rsid w:val="00EB2548"/>
    <w:rsid w:val="00EB26BD"/>
    <w:rsid w:val="00EB3782"/>
    <w:rsid w:val="00EB58A7"/>
    <w:rsid w:val="00EB5D28"/>
    <w:rsid w:val="00EB5F9E"/>
    <w:rsid w:val="00EC019B"/>
    <w:rsid w:val="00EC5843"/>
    <w:rsid w:val="00EC6F9A"/>
    <w:rsid w:val="00ED579A"/>
    <w:rsid w:val="00ED5BA6"/>
    <w:rsid w:val="00EE0EAC"/>
    <w:rsid w:val="00EE31CD"/>
    <w:rsid w:val="00EE7D9F"/>
    <w:rsid w:val="00EF040A"/>
    <w:rsid w:val="00EF65DF"/>
    <w:rsid w:val="00F01D47"/>
    <w:rsid w:val="00F105C6"/>
    <w:rsid w:val="00F14397"/>
    <w:rsid w:val="00F236F4"/>
    <w:rsid w:val="00F275C0"/>
    <w:rsid w:val="00F31511"/>
    <w:rsid w:val="00F43222"/>
    <w:rsid w:val="00F43C52"/>
    <w:rsid w:val="00F449AF"/>
    <w:rsid w:val="00F52EAF"/>
    <w:rsid w:val="00F53C61"/>
    <w:rsid w:val="00F54355"/>
    <w:rsid w:val="00F64875"/>
    <w:rsid w:val="00F73254"/>
    <w:rsid w:val="00F778F1"/>
    <w:rsid w:val="00F77F6F"/>
    <w:rsid w:val="00F838B6"/>
    <w:rsid w:val="00F8496B"/>
    <w:rsid w:val="00F84C8B"/>
    <w:rsid w:val="00F9148F"/>
    <w:rsid w:val="00F9607D"/>
    <w:rsid w:val="00FA128A"/>
    <w:rsid w:val="00FA6C4B"/>
    <w:rsid w:val="00FB25B0"/>
    <w:rsid w:val="00FB3BC5"/>
    <w:rsid w:val="00FB6503"/>
    <w:rsid w:val="00FC06CA"/>
    <w:rsid w:val="00FC4E30"/>
    <w:rsid w:val="00FC54AA"/>
    <w:rsid w:val="00FD32E4"/>
    <w:rsid w:val="00FD7413"/>
    <w:rsid w:val="00FE0E2B"/>
    <w:rsid w:val="00FE431C"/>
    <w:rsid w:val="00FE51AC"/>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2"/>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paragraph" w:styleId="Heading4">
    <w:name w:val="heading 4"/>
    <w:basedOn w:val="Normal"/>
    <w:next w:val="Normal"/>
    <w:link w:val="Heading4Char"/>
    <w:uiPriority w:val="9"/>
    <w:unhideWhenUsed/>
    <w:qFormat/>
    <w:rsid w:val="00834B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02A3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uiPriority w:val="99"/>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unhideWhenUsed/>
    <w:rsid w:val="00D41FE9"/>
    <w:rPr>
      <w:sz w:val="20"/>
    </w:rPr>
  </w:style>
  <w:style w:type="character" w:customStyle="1" w:styleId="CommentTextChar">
    <w:name w:val="Comment Text Char"/>
    <w:basedOn w:val="DefaultParagraphFont"/>
    <w:link w:val="CommentText"/>
    <w:uiPriority w:val="99"/>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2"/>
      </w:numPr>
      <w:spacing w:before="120" w:after="60" w:line="250" w:lineRule="auto"/>
      <w:jc w:val="left"/>
    </w:pPr>
    <w:rPr>
      <w:rFonts w:ascii="Arial" w:hAnsi="Arial"/>
      <w:spacing w:val="0"/>
      <w:sz w:val="20"/>
      <w:szCs w:val="22"/>
    </w:rPr>
  </w:style>
  <w:style w:type="paragraph" w:styleId="Revision">
    <w:name w:val="Revision"/>
    <w:hidden/>
    <w:uiPriority w:val="99"/>
    <w:semiHidden/>
    <w:rsid w:val="00D90198"/>
    <w:pPr>
      <w:spacing w:after="0" w:line="240" w:lineRule="auto"/>
    </w:pPr>
    <w:rPr>
      <w:rFonts w:ascii="Arial" w:eastAsia="Times New Roman" w:hAnsi="Arial" w:cs="Times New Roman"/>
      <w:spacing w:val="-3"/>
      <w:sz w:val="24"/>
      <w:szCs w:val="20"/>
    </w:rPr>
  </w:style>
  <w:style w:type="paragraph" w:styleId="ListParagraph">
    <w:name w:val="List Paragraph"/>
    <w:basedOn w:val="Normal"/>
    <w:uiPriority w:val="34"/>
    <w:qFormat/>
    <w:rsid w:val="00974914"/>
    <w:pPr>
      <w:ind w:left="720"/>
      <w:contextualSpacing/>
    </w:pPr>
  </w:style>
  <w:style w:type="paragraph" w:customStyle="1" w:styleId="Title-Table">
    <w:name w:val="Title-Table"/>
    <w:aliases w:val="TT"/>
    <w:basedOn w:val="BodyText"/>
    <w:next w:val="BodyText"/>
    <w:rsid w:val="007F01E3"/>
    <w:pPr>
      <w:keepNext/>
      <w:spacing w:after="200"/>
      <w:jc w:val="center"/>
    </w:pPr>
    <w:rPr>
      <w:rFonts w:ascii="Arial Bold" w:hAnsi="Arial Bold"/>
      <w:b/>
      <w:spacing w:val="0"/>
      <w:sz w:val="22"/>
      <w:szCs w:val="22"/>
    </w:rPr>
  </w:style>
  <w:style w:type="paragraph" w:customStyle="1" w:styleId="TableHead">
    <w:name w:val="Table Head"/>
    <w:basedOn w:val="Normal"/>
    <w:next w:val="Normal"/>
    <w:rsid w:val="007F01E3"/>
    <w:pPr>
      <w:spacing w:before="80" w:after="80"/>
      <w:jc w:val="center"/>
    </w:pPr>
    <w:rPr>
      <w:b/>
      <w:spacing w:val="0"/>
      <w:sz w:val="18"/>
    </w:rPr>
  </w:style>
  <w:style w:type="paragraph" w:customStyle="1" w:styleId="tabletext">
    <w:name w:val="table text"/>
    <w:aliases w:val="t2"/>
    <w:basedOn w:val="Normal"/>
    <w:rsid w:val="007F01E3"/>
    <w:pPr>
      <w:spacing w:before="40" w:after="40" w:line="220" w:lineRule="exact"/>
    </w:pPr>
    <w:rPr>
      <w:spacing w:val="0"/>
      <w:sz w:val="20"/>
    </w:rPr>
  </w:style>
  <w:style w:type="table" w:styleId="TableGrid">
    <w:name w:val="Table Grid"/>
    <w:basedOn w:val="TableNormal"/>
    <w:uiPriority w:val="39"/>
    <w:rsid w:val="00B3627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rsid w:val="00CF193C"/>
    <w:pPr>
      <w:numPr>
        <w:numId w:val="3"/>
      </w:numPr>
      <w:spacing w:after="200"/>
      <w:jc w:val="left"/>
    </w:pPr>
    <w:rPr>
      <w:spacing w:val="0"/>
      <w:szCs w:val="24"/>
    </w:rPr>
  </w:style>
  <w:style w:type="paragraph" w:customStyle="1" w:styleId="Tablenote">
    <w:name w:val="Tablenote"/>
    <w:aliases w:val="TN"/>
    <w:basedOn w:val="Normal"/>
    <w:rsid w:val="00FC06CA"/>
    <w:pPr>
      <w:spacing w:before="40" w:line="180" w:lineRule="exact"/>
      <w:ind w:left="180" w:hanging="180"/>
    </w:pPr>
    <w:rPr>
      <w:rFonts w:ascii="Times New Roman" w:hAnsi="Times New Roman"/>
      <w:snapToGrid w:val="0"/>
      <w:spacing w:val="0"/>
      <w:sz w:val="18"/>
    </w:rPr>
  </w:style>
  <w:style w:type="paragraph" w:customStyle="1" w:styleId="Bullet2">
    <w:name w:val="Bullet 2"/>
    <w:basedOn w:val="Normal"/>
    <w:rsid w:val="00573CFA"/>
    <w:pPr>
      <w:numPr>
        <w:numId w:val="5"/>
      </w:numPr>
      <w:spacing w:after="200"/>
      <w:ind w:left="2160"/>
    </w:pPr>
    <w:rPr>
      <w:rFonts w:ascii="Times New Roman" w:hAnsi="Times New Roman"/>
      <w:spacing w:val="0"/>
      <w:szCs w:val="24"/>
    </w:rPr>
  </w:style>
  <w:style w:type="character" w:customStyle="1" w:styleId="Heading5Char">
    <w:name w:val="Heading 5 Char"/>
    <w:basedOn w:val="DefaultParagraphFont"/>
    <w:link w:val="Heading5"/>
    <w:uiPriority w:val="9"/>
    <w:rsid w:val="00502A35"/>
    <w:rPr>
      <w:rFonts w:asciiTheme="majorHAnsi" w:eastAsiaTheme="majorEastAsia" w:hAnsiTheme="majorHAnsi" w:cstheme="majorBidi"/>
      <w:color w:val="365F91" w:themeColor="accent1" w:themeShade="BF"/>
      <w:spacing w:val="-3"/>
      <w:sz w:val="24"/>
      <w:szCs w:val="20"/>
    </w:rPr>
  </w:style>
  <w:style w:type="character" w:customStyle="1" w:styleId="Heading4Char">
    <w:name w:val="Heading 4 Char"/>
    <w:basedOn w:val="DefaultParagraphFont"/>
    <w:link w:val="Heading4"/>
    <w:uiPriority w:val="9"/>
    <w:rsid w:val="00834B1C"/>
    <w:rPr>
      <w:rFonts w:asciiTheme="majorHAnsi" w:eastAsiaTheme="majorEastAsia" w:hAnsiTheme="majorHAnsi" w:cstheme="majorBidi"/>
      <w:i/>
      <w:iCs/>
      <w:color w:val="365F91" w:themeColor="accent1" w:themeShade="BF"/>
      <w:spacing w:val="-3"/>
      <w:sz w:val="24"/>
      <w:szCs w:val="20"/>
    </w:rPr>
  </w:style>
  <w:style w:type="paragraph" w:styleId="TOC2">
    <w:name w:val="toc 2"/>
    <w:basedOn w:val="Normal"/>
    <w:next w:val="Normal"/>
    <w:uiPriority w:val="39"/>
    <w:qFormat/>
    <w:rsid w:val="00834B1C"/>
    <w:pPr>
      <w:keepNext/>
      <w:tabs>
        <w:tab w:val="left" w:pos="960"/>
        <w:tab w:val="right" w:leader="dot" w:pos="9360"/>
      </w:tabs>
      <w:spacing w:before="30" w:after="30"/>
      <w:ind w:left="965" w:right="547" w:hanging="720"/>
    </w:pPr>
    <w:rPr>
      <w:rFonts w:ascii="Times New Roman" w:hAnsi="Times New Roman"/>
      <w:bCs/>
      <w:spacing w:val="0"/>
      <w:szCs w:val="24"/>
    </w:rPr>
  </w:style>
  <w:style w:type="paragraph" w:styleId="ListNumber">
    <w:name w:val="List Number"/>
    <w:basedOn w:val="Normal"/>
    <w:rsid w:val="0049692E"/>
    <w:pPr>
      <w:numPr>
        <w:numId w:val="11"/>
      </w:numPr>
      <w:tabs>
        <w:tab w:val="clear" w:pos="360"/>
      </w:tabs>
      <w:spacing w:after="200"/>
      <w:ind w:left="2160"/>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C305-B93F-430B-92A6-ED3173F0E6BF}">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4b8224c-5c6c-422f-9870-d7d19452eb64"/>
    <ds:schemaRef ds:uri="http://purl.org/dc/terms/"/>
  </ds:schemaRefs>
</ds:datastoreItem>
</file>

<file path=customXml/itemProps2.xml><?xml version="1.0" encoding="utf-8"?>
<ds:datastoreItem xmlns:ds="http://schemas.openxmlformats.org/officeDocument/2006/customXml" ds:itemID="{2FAC2890-B1A7-41E1-84AF-ECFBE2FF63B8}">
  <ds:schemaRefs>
    <ds:schemaRef ds:uri="http://schemas.microsoft.com/sharepoint/v3/contenttype/forms"/>
  </ds:schemaRefs>
</ds:datastoreItem>
</file>

<file path=customXml/itemProps3.xml><?xml version="1.0" encoding="utf-8"?>
<ds:datastoreItem xmlns:ds="http://schemas.openxmlformats.org/officeDocument/2006/customXml" ds:itemID="{602D0BC6-9922-4370-BC2B-DCFD493C3D55}"/>
</file>

<file path=customXml/itemProps4.xml><?xml version="1.0" encoding="utf-8"?>
<ds:datastoreItem xmlns:ds="http://schemas.openxmlformats.org/officeDocument/2006/customXml" ds:itemID="{4DA86AC7-3E7D-41F4-95D6-CF8CC225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10</cp:revision>
  <cp:lastPrinted>2017-12-21T23:35:00Z</cp:lastPrinted>
  <dcterms:created xsi:type="dcterms:W3CDTF">2017-12-21T23:27:00Z</dcterms:created>
  <dcterms:modified xsi:type="dcterms:W3CDTF">2022-06-28T17:29:00Z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