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34D0" w14:textId="3CDA8957" w:rsidR="0040273E" w:rsidRPr="0040273E" w:rsidRDefault="0040273E" w:rsidP="0040273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B4BAFDF" w14:textId="25B31175" w:rsidR="00FC54AA" w:rsidRPr="00FC54AA" w:rsidRDefault="00FC54AA" w:rsidP="00FC54AA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FC54AA">
        <w:rPr>
          <w:rFonts w:ascii="Times New Roman" w:hAnsi="Times New Roman"/>
          <w:spacing w:val="-2"/>
        </w:rPr>
        <w:t xml:space="preserve">This checklist reflects most, but not necessarily all of the items that will be reviewed by the Development </w:t>
      </w:r>
      <w:r w:rsidR="004549F0">
        <w:rPr>
          <w:rFonts w:ascii="Times New Roman" w:hAnsi="Times New Roman"/>
          <w:spacing w:val="-2"/>
        </w:rPr>
        <w:t>Review</w:t>
      </w:r>
      <w:r w:rsidRPr="00FC54AA">
        <w:rPr>
          <w:rFonts w:ascii="Times New Roman" w:hAnsi="Times New Roman"/>
          <w:spacing w:val="-2"/>
        </w:rPr>
        <w:t xml:space="preserve">. It is intended to be used as an aid by us to provide a consistent review of development work in </w:t>
      </w:r>
      <w:r w:rsidR="004549F0" w:rsidRPr="004549F0">
        <w:rPr>
          <w:rFonts w:ascii="Times New Roman" w:hAnsi="Times New Roman"/>
          <w:spacing w:val="-2"/>
        </w:rPr>
        <w:t>Thurston County</w:t>
      </w:r>
      <w:r w:rsidRPr="00FC54AA">
        <w:rPr>
          <w:rFonts w:ascii="Times New Roman" w:hAnsi="Times New Roman"/>
          <w:spacing w:val="-2"/>
        </w:rPr>
        <w:t>.</w:t>
      </w:r>
      <w:r w:rsidR="00725AFD">
        <w:rPr>
          <w:rFonts w:ascii="Times New Roman" w:hAnsi="Times New Roman"/>
          <w:spacing w:val="-2"/>
        </w:rPr>
        <w:t xml:space="preserve"> </w:t>
      </w:r>
      <w:r w:rsidRPr="00FC54AA">
        <w:rPr>
          <w:rFonts w:ascii="Times New Roman" w:hAnsi="Times New Roman"/>
          <w:spacing w:val="-2"/>
        </w:rPr>
        <w:t xml:space="preserve">All items may not be applicable in the review of each project and all items of concern to this office may not be covered on this checklist.  </w:t>
      </w:r>
    </w:p>
    <w:p w14:paraId="4591A9AF" w14:textId="20F09FC7" w:rsidR="0040273E" w:rsidRDefault="0040273E" w:rsidP="0040273E">
      <w:pPr>
        <w:rPr>
          <w:rFonts w:ascii="Times New Roman" w:hAnsi="Times New Roman"/>
        </w:rPr>
      </w:pPr>
    </w:p>
    <w:p w14:paraId="4A2E634B" w14:textId="77777777" w:rsidR="004549F0" w:rsidRPr="0040273E" w:rsidRDefault="004549F0" w:rsidP="0040273E">
      <w:pPr>
        <w:rPr>
          <w:rFonts w:ascii="Times New Roman" w:hAnsi="Times New Roman"/>
        </w:rPr>
      </w:pPr>
    </w:p>
    <w:tbl>
      <w:tblPr>
        <w:tblW w:w="8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49"/>
      </w:tblGrid>
      <w:tr w:rsidR="004549F0" w:rsidRPr="00B36276" w14:paraId="7A4FC568" w14:textId="77777777" w:rsidTr="004549F0">
        <w:trPr>
          <w:tblHeader/>
        </w:trPr>
        <w:tc>
          <w:tcPr>
            <w:tcW w:w="720" w:type="dxa"/>
            <w:shd w:val="clear" w:color="auto" w:fill="auto"/>
            <w:vAlign w:val="center"/>
          </w:tcPr>
          <w:p w14:paraId="19C219B9" w14:textId="1D3F5C22" w:rsidR="004549F0" w:rsidRPr="00B36276" w:rsidRDefault="004549F0" w:rsidP="00E1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AD58A4" w14:textId="2748E244" w:rsidR="004549F0" w:rsidRPr="00B36276" w:rsidRDefault="004549F0" w:rsidP="00E1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</w:t>
            </w:r>
          </w:p>
        </w:tc>
        <w:tc>
          <w:tcPr>
            <w:tcW w:w="7249" w:type="dxa"/>
            <w:shd w:val="clear" w:color="auto" w:fill="auto"/>
          </w:tcPr>
          <w:p w14:paraId="28AFC61B" w14:textId="77777777" w:rsidR="004549F0" w:rsidRPr="00B36276" w:rsidRDefault="004549F0" w:rsidP="00E13CE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49F0" w:rsidRPr="00B36276" w14:paraId="23336C09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C7BDD0" w14:textId="77777777" w:rsidR="004549F0" w:rsidRPr="00B36276" w:rsidRDefault="004549F0" w:rsidP="00B325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8C99E72" w14:textId="77777777" w:rsidR="004549F0" w:rsidRPr="00B36276" w:rsidRDefault="004549F0" w:rsidP="00B325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C981BB4" w14:textId="77777777" w:rsidR="004549F0" w:rsidRDefault="004549F0" w:rsidP="00E575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SIZING AND MODELING CRITERIA</w:t>
            </w:r>
          </w:p>
          <w:p w14:paraId="59D032A3" w14:textId="38082C4B" w:rsidR="00E575FE" w:rsidRPr="00E575FE" w:rsidRDefault="00E575FE" w:rsidP="00E575F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49F0" w:rsidRPr="00B36276" w14:paraId="77018C6A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2C20A" w14:textId="77777777" w:rsidR="004549F0" w:rsidRPr="00B36276" w:rsidRDefault="004549F0" w:rsidP="00B325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AE0CF" w14:textId="77777777" w:rsidR="004549F0" w:rsidRPr="00B36276" w:rsidRDefault="004549F0" w:rsidP="00B325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F439B" w14:textId="66C7ED1A" w:rsidR="004549F0" w:rsidRPr="00676651" w:rsidRDefault="004549F0" w:rsidP="00764BE7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E575FE">
              <w:rPr>
                <w:rFonts w:ascii="Times New Roman" w:hAnsi="Times New Roman"/>
                <w:szCs w:val="24"/>
              </w:rPr>
              <w:t>For compliance with Minimum Requirements #6 and/or #7, the Western Washington Hydrologic Model (WWHM), MGSFlood, or other approved continuous runoff model is used to model the infiltration basin and contributing area.</w:t>
            </w:r>
          </w:p>
        </w:tc>
      </w:tr>
      <w:tr w:rsidR="004549F0" w:rsidRPr="00B36276" w14:paraId="4EDCE9DC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D519F" w14:textId="77777777" w:rsidR="004549F0" w:rsidRPr="00B36276" w:rsidRDefault="004549F0" w:rsidP="00111A2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1307B" w14:textId="77777777" w:rsidR="004549F0" w:rsidRPr="00B36276" w:rsidRDefault="004549F0" w:rsidP="00111A2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DB1DA" w14:textId="73B76834" w:rsidR="004549F0" w:rsidRPr="00676651" w:rsidRDefault="004549F0" w:rsidP="00EE0BAA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114A42">
              <w:rPr>
                <w:rFonts w:ascii="Times New Roman" w:hAnsi="Times New Roman"/>
                <w:szCs w:val="24"/>
              </w:rPr>
              <w:t>The facility is represented by the pond element with predetermined infiltration rates.</w:t>
            </w:r>
          </w:p>
        </w:tc>
      </w:tr>
      <w:tr w:rsidR="004549F0" w:rsidRPr="00D2299A" w14:paraId="10B2AB04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F9CAC" w14:textId="77777777" w:rsidR="004549F0" w:rsidRPr="00B36276" w:rsidRDefault="004549F0" w:rsidP="00B325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A33AC" w14:textId="77777777" w:rsidR="004549F0" w:rsidRPr="00B36276" w:rsidRDefault="004549F0" w:rsidP="00B325F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D285F" w14:textId="16B47A5E" w:rsidR="004549F0" w:rsidRPr="00676651" w:rsidRDefault="004549F0" w:rsidP="00D8282B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114A42">
              <w:rPr>
                <w:rFonts w:ascii="Times New Roman" w:hAnsi="Times New Roman"/>
                <w:szCs w:val="24"/>
              </w:rPr>
              <w:t xml:space="preserve">For compliance with </w:t>
            </w:r>
            <w:r w:rsidR="00114A42" w:rsidRPr="00114A42">
              <w:rPr>
                <w:rFonts w:ascii="Times New Roman" w:hAnsi="Times New Roman"/>
                <w:szCs w:val="24"/>
              </w:rPr>
              <w:t>Core</w:t>
            </w:r>
            <w:r w:rsidRPr="00114A42">
              <w:rPr>
                <w:rFonts w:ascii="Times New Roman" w:hAnsi="Times New Roman"/>
                <w:szCs w:val="24"/>
              </w:rPr>
              <w:t xml:space="preserve"> Requirement #6, the underlying soil meets the requirements for Infiltration Treatment (see below).</w:t>
            </w:r>
          </w:p>
        </w:tc>
      </w:tr>
      <w:tr w:rsidR="004549F0" w:rsidRPr="00B36276" w14:paraId="21A88675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21D9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D65A2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0F5F5" w14:textId="538160EA" w:rsidR="004549F0" w:rsidRPr="00676651" w:rsidRDefault="004549F0" w:rsidP="00E302BF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114A42">
              <w:rPr>
                <w:rFonts w:ascii="Times New Roman" w:hAnsi="Times New Roman"/>
                <w:szCs w:val="24"/>
              </w:rPr>
              <w:t xml:space="preserve">For compliance with </w:t>
            </w:r>
            <w:r w:rsidR="00114A42" w:rsidRPr="00114A42">
              <w:rPr>
                <w:rFonts w:ascii="Times New Roman" w:hAnsi="Times New Roman"/>
                <w:szCs w:val="24"/>
              </w:rPr>
              <w:t>Core</w:t>
            </w:r>
            <w:r w:rsidRPr="00114A42">
              <w:rPr>
                <w:rFonts w:ascii="Times New Roman" w:hAnsi="Times New Roman"/>
                <w:szCs w:val="24"/>
              </w:rPr>
              <w:t xml:space="preserve"> Requirement #</w:t>
            </w:r>
            <w:r w:rsidR="00114A42">
              <w:rPr>
                <w:rFonts w:ascii="Times New Roman" w:hAnsi="Times New Roman"/>
                <w:szCs w:val="24"/>
              </w:rPr>
              <w:t>6</w:t>
            </w:r>
            <w:r w:rsidRPr="00114A42">
              <w:rPr>
                <w:rFonts w:ascii="Times New Roman" w:hAnsi="Times New Roman"/>
                <w:szCs w:val="24"/>
              </w:rPr>
              <w:t>, the infiltration basin does not overflow</w:t>
            </w:r>
            <w:r w:rsidR="00985C93">
              <w:rPr>
                <w:rFonts w:ascii="Times New Roman" w:hAnsi="Times New Roman"/>
                <w:szCs w:val="24"/>
              </w:rPr>
              <w:t>/bypass</w:t>
            </w:r>
            <w:r w:rsidRPr="00114A42">
              <w:rPr>
                <w:rFonts w:ascii="Times New Roman" w:hAnsi="Times New Roman"/>
                <w:szCs w:val="24"/>
              </w:rPr>
              <w:t xml:space="preserve"> more than 9% of the influent runoff file.</w:t>
            </w:r>
          </w:p>
        </w:tc>
      </w:tr>
      <w:tr w:rsidR="004549F0" w:rsidRPr="00B36276" w14:paraId="4C2258D5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CB0F2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CF0AF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A28F8" w14:textId="45948C85" w:rsidR="004549F0" w:rsidRPr="00676651" w:rsidRDefault="00455AEA" w:rsidP="00E302BF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For </w:t>
            </w:r>
            <w:r w:rsidR="00793188">
              <w:rPr>
                <w:rFonts w:ascii="Times New Roman" w:hAnsi="Times New Roman"/>
                <w:szCs w:val="24"/>
              </w:rPr>
              <w:t>infiltration basin</w:t>
            </w:r>
            <w:r w:rsidR="00985C93">
              <w:rPr>
                <w:rFonts w:ascii="Times New Roman" w:hAnsi="Times New Roman"/>
                <w:szCs w:val="24"/>
              </w:rPr>
              <w:t>s</w:t>
            </w:r>
            <w:r w:rsidR="00793188">
              <w:rPr>
                <w:rFonts w:ascii="Times New Roman" w:hAnsi="Times New Roman"/>
                <w:szCs w:val="24"/>
              </w:rPr>
              <w:t xml:space="preserve"> sized to meet the LID Performance Standard and/or the Flow Control Performance Standard</w:t>
            </w:r>
            <w:r w:rsidR="00985C93">
              <w:rPr>
                <w:rFonts w:ascii="Times New Roman" w:hAnsi="Times New Roman"/>
                <w:szCs w:val="24"/>
              </w:rPr>
              <w:t xml:space="preserve">, the basin </w:t>
            </w:r>
            <w:r w:rsidR="00793188">
              <w:rPr>
                <w:rFonts w:ascii="Times New Roman" w:hAnsi="Times New Roman"/>
                <w:szCs w:val="24"/>
              </w:rPr>
              <w:t xml:space="preserve">either infiltrates </w:t>
            </w:r>
            <w:r w:rsidR="00AB22AA">
              <w:rPr>
                <w:rFonts w:ascii="Times New Roman" w:hAnsi="Times New Roman"/>
                <w:szCs w:val="24"/>
              </w:rPr>
              <w:t>all</w:t>
            </w:r>
            <w:r w:rsidR="00793188">
              <w:rPr>
                <w:rFonts w:ascii="Times New Roman" w:hAnsi="Times New Roman"/>
                <w:szCs w:val="24"/>
              </w:rPr>
              <w:t xml:space="preserve"> the influent file, or a sufficient amount of the influent file such that any overflow</w:t>
            </w:r>
            <w:r w:rsidR="00985C93">
              <w:rPr>
                <w:rFonts w:ascii="Times New Roman" w:hAnsi="Times New Roman"/>
                <w:szCs w:val="24"/>
              </w:rPr>
              <w:t>/bypass</w:t>
            </w:r>
            <w:r w:rsidR="00793188">
              <w:rPr>
                <w:rFonts w:ascii="Times New Roman" w:hAnsi="Times New Roman"/>
                <w:szCs w:val="24"/>
              </w:rPr>
              <w:t xml:space="preserve"> meets the standard.</w:t>
            </w:r>
          </w:p>
        </w:tc>
      </w:tr>
      <w:tr w:rsidR="004549F0" w:rsidRPr="00B36276" w14:paraId="6B030035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4E6CAB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BAB9F7B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1216D6" w14:textId="1078F114" w:rsidR="004549F0" w:rsidRPr="00E37EFF" w:rsidRDefault="004549F0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Infiltration</w:t>
            </w:r>
            <w:r w:rsidRPr="009360AF">
              <w:rPr>
                <w:rFonts w:ascii="Times New Roman" w:hAnsi="Times New Roman"/>
                <w:b/>
                <w:bCs/>
                <w:szCs w:val="24"/>
              </w:rPr>
              <w:t xml:space="preserve"> Treatment</w:t>
            </w:r>
            <w:r w:rsidR="003A167D">
              <w:rPr>
                <w:rFonts w:ascii="Times New Roman" w:hAnsi="Times New Roman"/>
                <w:b/>
                <w:bCs/>
                <w:szCs w:val="24"/>
              </w:rPr>
              <w:t xml:space="preserve"> (Basic Treatment Only)</w:t>
            </w:r>
          </w:p>
        </w:tc>
      </w:tr>
      <w:tr w:rsidR="004549F0" w:rsidRPr="00B36276" w14:paraId="5E809AA8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E6B8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407A6" w14:textId="77777777" w:rsidR="004549F0" w:rsidRPr="00D2299A" w:rsidRDefault="004549F0" w:rsidP="00D2299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63DE0" w14:textId="491B3EEE" w:rsidR="004549F0" w:rsidRPr="00676651" w:rsidRDefault="004549F0" w:rsidP="00D2299A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114A42">
              <w:rPr>
                <w:rFonts w:ascii="Times New Roman" w:hAnsi="Times New Roman"/>
                <w:szCs w:val="24"/>
              </w:rPr>
              <w:t>Measured (initial) saturated hydraulic conductivity of 9 inches per hour or less. Design (long-term) saturated hydraulic conductivity of up to 3 inches per hour with correction factor.</w:t>
            </w:r>
          </w:p>
        </w:tc>
      </w:tr>
      <w:tr w:rsidR="004549F0" w:rsidRPr="00B36276" w14:paraId="03C9C67A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5B647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E9530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7EA9E" w14:textId="77777777" w:rsidR="004549F0" w:rsidRPr="00114A42" w:rsidRDefault="004549F0" w:rsidP="00D50470">
            <w:pPr>
              <w:rPr>
                <w:rFonts w:ascii="Times New Roman" w:hAnsi="Times New Roman"/>
                <w:szCs w:val="24"/>
              </w:rPr>
            </w:pPr>
            <w:r w:rsidRPr="00114A42">
              <w:rPr>
                <w:rFonts w:ascii="Times New Roman" w:hAnsi="Times New Roman"/>
                <w:szCs w:val="24"/>
              </w:rPr>
              <w:t>Based on the judgment of the site professional, the native soil has characteristics comparable to the following:</w:t>
            </w:r>
          </w:p>
          <w:p w14:paraId="3B1072F2" w14:textId="77777777" w:rsidR="004549F0" w:rsidRPr="00114A42" w:rsidRDefault="004549F0" w:rsidP="00D50470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14A42">
              <w:rPr>
                <w:rFonts w:ascii="Times New Roman" w:hAnsi="Times New Roman"/>
                <w:bCs/>
                <w:szCs w:val="24"/>
              </w:rPr>
              <w:t>Cation Exchange Capacity (CEC):</w:t>
            </w:r>
            <w:r w:rsidRPr="00114A42">
              <w:rPr>
                <w:rFonts w:ascii="Times New Roman" w:hAnsi="Times New Roman"/>
                <w:szCs w:val="24"/>
              </w:rPr>
              <w:t xml:space="preserve"> ≥ 5 meq/100 grams of dry soil </w:t>
            </w:r>
          </w:p>
          <w:p w14:paraId="715324A3" w14:textId="622C002F" w:rsidR="004549F0" w:rsidRPr="00114A42" w:rsidRDefault="004549F0" w:rsidP="00D2299A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</w:pPr>
            <w:r w:rsidRPr="00114A42">
              <w:rPr>
                <w:rFonts w:ascii="Times New Roman" w:hAnsi="Times New Roman"/>
                <w:bCs/>
                <w:szCs w:val="24"/>
              </w:rPr>
              <w:t xml:space="preserve">Organic matter content: 1% minimum (ASTM D2974) </w:t>
            </w:r>
          </w:p>
          <w:p w14:paraId="475E32A5" w14:textId="1DB16BB1" w:rsidR="004549F0" w:rsidRPr="00114A42" w:rsidRDefault="004549F0" w:rsidP="00D2299A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</w:pPr>
            <w:r w:rsidRPr="00114A42">
              <w:rPr>
                <w:rFonts w:ascii="Times New Roman" w:hAnsi="Times New Roman"/>
                <w:bCs/>
                <w:szCs w:val="24"/>
              </w:rPr>
              <w:t>Minimum depth of 18 inches</w:t>
            </w:r>
          </w:p>
        </w:tc>
      </w:tr>
      <w:tr w:rsidR="004549F0" w:rsidRPr="00B36276" w14:paraId="2F01F344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FF4BC94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AF33D34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45E5893" w14:textId="77777777" w:rsidR="004549F0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DESIGN CRITERIA</w:t>
            </w:r>
          </w:p>
          <w:p w14:paraId="307FB9A6" w14:textId="626B95CA" w:rsidR="00E575FE" w:rsidRDefault="00E575FE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49F0" w:rsidRPr="00A42709" w14:paraId="1599ED58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596EAF" w14:textId="77777777" w:rsidR="004549F0" w:rsidRPr="00A42709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F7F76E" w14:textId="77777777" w:rsidR="004549F0" w:rsidRPr="00A42709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BDC1839" w14:textId="4278D259" w:rsidR="004549F0" w:rsidRPr="00E575FE" w:rsidRDefault="004549F0" w:rsidP="00E575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6276">
              <w:rPr>
                <w:rFonts w:ascii="Times New Roman" w:hAnsi="Times New Roman"/>
                <w:b/>
                <w:szCs w:val="24"/>
              </w:rPr>
              <w:t>Setbacks and Site Constraints</w:t>
            </w:r>
          </w:p>
        </w:tc>
      </w:tr>
      <w:tr w:rsidR="004549F0" w:rsidRPr="00B36276" w14:paraId="517E8B8E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3BBAE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3CA98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FEE86" w14:textId="7D73C8D2" w:rsidR="004549F0" w:rsidRPr="00676651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676651">
              <w:t xml:space="preserve">1 foot </w:t>
            </w:r>
            <w:r w:rsidR="003A167D">
              <w:t>vertical</w:t>
            </w:r>
            <w:r w:rsidRPr="00676651">
              <w:t xml:space="preserve"> clearance from any open water maximum surface elevation to structures within 25 feet.</w:t>
            </w:r>
          </w:p>
        </w:tc>
      </w:tr>
      <w:tr w:rsidR="004549F0" w:rsidRPr="00B36276" w14:paraId="6D41AE51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02B56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B53FC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1F145" w14:textId="02435107" w:rsidR="004549F0" w:rsidRPr="00676651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676651">
              <w:t>5</w:t>
            </w:r>
            <w:r w:rsidR="00676651" w:rsidRPr="00676651">
              <w:t>0</w:t>
            </w:r>
            <w:r w:rsidRPr="00676651">
              <w:t xml:space="preserve"> feet from septic tank, holding tank, containment vessel, pump chamber, and distribution box.</w:t>
            </w:r>
          </w:p>
        </w:tc>
      </w:tr>
      <w:tr w:rsidR="004549F0" w:rsidRPr="00B36276" w14:paraId="79E168A6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8E6EC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FC6B3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68823" w14:textId="77777777" w:rsidR="004549F0" w:rsidRPr="00676651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676651">
              <w:t>10 feet from open water maximum surface elevation or edge of infiltration facility to property lines and onsite structures.</w:t>
            </w:r>
          </w:p>
        </w:tc>
      </w:tr>
      <w:tr w:rsidR="004549F0" w:rsidRPr="00B36276" w14:paraId="07EB3184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F5F52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89D8F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16FCF" w14:textId="714A0693" w:rsidR="004549F0" w:rsidRPr="00676651" w:rsidRDefault="004549F0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  <w:vertAlign w:val="superscript"/>
              </w:rPr>
            </w:pPr>
            <w:r w:rsidRPr="00676651">
              <w:t xml:space="preserve">50 feet from top of slopes steeper </w:t>
            </w:r>
            <w:r w:rsidRPr="00D87D03">
              <w:t xml:space="preserve">than </w:t>
            </w:r>
            <w:r w:rsidR="00D87D03">
              <w:t>15%</w:t>
            </w:r>
            <w:r w:rsidRPr="00676651">
              <w:t xml:space="preserve"> and greater than 10 feet high.</w:t>
            </w:r>
          </w:p>
        </w:tc>
      </w:tr>
      <w:tr w:rsidR="004549F0" w:rsidRPr="00B36276" w14:paraId="7CD8CBEA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9537E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04D460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44B47" w14:textId="272C9A1D" w:rsidR="004549F0" w:rsidRPr="00676651" w:rsidRDefault="004549F0" w:rsidP="00E302BF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676651">
              <w:t xml:space="preserve">300 feet from an erosion </w:t>
            </w:r>
            <w:r w:rsidR="00E302BF" w:rsidRPr="00676651">
              <w:t>hazard or landslide hazard area</w:t>
            </w:r>
            <w:r w:rsidR="00E302BF" w:rsidRPr="00676651">
              <w:rPr>
                <w:snapToGrid w:val="0"/>
              </w:rPr>
              <w:t>.</w:t>
            </w:r>
          </w:p>
        </w:tc>
      </w:tr>
      <w:tr w:rsidR="004549F0" w:rsidRPr="00B36276" w14:paraId="2CBB804D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EA3EB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323DF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3F002" w14:textId="694FD23C" w:rsidR="004549F0" w:rsidRPr="00676651" w:rsidRDefault="00616FA1" w:rsidP="00D2299A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>
              <w:t>100 feet from edge of septic drainfield and drainfield reserve area</w:t>
            </w:r>
            <w:r w:rsidR="008E4BD8">
              <w:t xml:space="preserve">. Infiltration facility located downgradient unless site topography clearly prohibits subsurface flow from intersection drainfield. May be reduced to 30 feet for infiltration facilities serving a single family residence. </w:t>
            </w:r>
          </w:p>
        </w:tc>
      </w:tr>
      <w:tr w:rsidR="004549F0" w:rsidRPr="00B36276" w14:paraId="607617BA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04479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F8B02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49648" w14:textId="07AE5C37" w:rsidR="004549F0" w:rsidRPr="00E575FE" w:rsidRDefault="004549F0" w:rsidP="00E302BF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>Projects located within groundwater protection areas meet the soil requirements for infiltrat</w:t>
            </w:r>
            <w:r w:rsidR="00E302BF" w:rsidRPr="00E575FE">
              <w:t xml:space="preserve">ion for </w:t>
            </w:r>
            <w:r w:rsidR="008E4BD8">
              <w:t xml:space="preserve">enhanced </w:t>
            </w:r>
            <w:r w:rsidR="00E302BF" w:rsidRPr="00E575FE">
              <w:t>water quality treatment</w:t>
            </w:r>
            <w:r w:rsidRPr="00E575FE">
              <w:t>.</w:t>
            </w:r>
          </w:p>
        </w:tc>
      </w:tr>
      <w:tr w:rsidR="004549F0" w:rsidRPr="00B36276" w14:paraId="0748E3E6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0D612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131CD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06755" w14:textId="77777777" w:rsidR="004549F0" w:rsidRPr="00676651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676651">
              <w:t>Infiltration basins are no closer than 100 feet from drinking water wells and springs used for drinking water supplies.</w:t>
            </w:r>
          </w:p>
        </w:tc>
      </w:tr>
      <w:tr w:rsidR="004549F0" w:rsidRPr="00B36276" w14:paraId="0D49A7AA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B1DDB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5537E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0E90E" w14:textId="77777777" w:rsidR="004549F0" w:rsidRPr="00676651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E575FE">
              <w:t>Access is provided for vehicles to easily maintain the forebay (presettling basin) area and not disturb vegetation, or resuspend sediment any more than is absolutely necessary.</w:t>
            </w:r>
          </w:p>
        </w:tc>
      </w:tr>
      <w:tr w:rsidR="004549F0" w:rsidRPr="00B36276" w14:paraId="10A96124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F8BDF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58FB4" w14:textId="77777777" w:rsidR="004549F0" w:rsidRPr="00B36276" w:rsidRDefault="004549F0" w:rsidP="00D2299A">
            <w:pPr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6ADE1" w14:textId="77777777" w:rsidR="004549F0" w:rsidRPr="00676651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D87D03">
              <w:t>If the infiltration basin is located within the 1</w:t>
            </w:r>
            <w:r w:rsidRPr="00D87D03">
              <w:noBreakHyphen/>
              <w:t>year capture zone of any well, it is preceded by a water quality treatment facility.</w:t>
            </w:r>
          </w:p>
        </w:tc>
      </w:tr>
      <w:tr w:rsidR="004549F0" w:rsidRPr="00A42709" w14:paraId="01F72BD4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46CFB7" w14:textId="77777777" w:rsidR="004549F0" w:rsidRPr="00A42709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D9B79EC" w14:textId="77777777" w:rsidR="004549F0" w:rsidRPr="00A42709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DD9A761" w14:textId="302A7D18" w:rsidR="004549F0" w:rsidRPr="00E575FE" w:rsidRDefault="004549F0" w:rsidP="00E57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Infiltration Basin Design Criteria</w:t>
            </w:r>
          </w:p>
        </w:tc>
      </w:tr>
      <w:tr w:rsidR="004549F0" w:rsidRPr="00A42709" w14:paraId="40A871FB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943C4" w14:textId="77777777" w:rsidR="004549F0" w:rsidRPr="00D2299A" w:rsidRDefault="004549F0" w:rsidP="00D2299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974FE" w14:textId="77777777" w:rsidR="004549F0" w:rsidRPr="00D2299A" w:rsidRDefault="004549F0" w:rsidP="00D2299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A165B" w14:textId="0CCA6128" w:rsidR="004549F0" w:rsidRPr="00676651" w:rsidRDefault="004549F0" w:rsidP="00D2299A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AF6B14">
              <w:rPr>
                <w:rFonts w:ascii="Times New Roman" w:hAnsi="Times New Roman"/>
                <w:szCs w:val="24"/>
              </w:rPr>
              <w:t>A crest gauge is included to record maximum basin water surface elevation after a storm event</w:t>
            </w:r>
            <w:r w:rsidR="00AF6B14" w:rsidRPr="00AF6B14">
              <w:rPr>
                <w:rFonts w:ascii="Times New Roman" w:hAnsi="Times New Roman"/>
                <w:szCs w:val="24"/>
              </w:rPr>
              <w:t xml:space="preserve"> for infiltration basins with a maximum depth of 4 feet or more and a minimum storage volume of 5,000 cubic feet</w:t>
            </w:r>
            <w:r w:rsidRPr="00AF6B14"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4549F0" w:rsidRPr="00A42709" w14:paraId="15A408D2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85372" w14:textId="77777777" w:rsidR="004549F0" w:rsidRPr="00A42709" w:rsidRDefault="004549F0" w:rsidP="00D5047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5FAE8" w14:textId="77777777" w:rsidR="004549F0" w:rsidRPr="00A42709" w:rsidRDefault="004549F0" w:rsidP="00D5047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75C7C" w14:textId="552A3AAA" w:rsidR="004549F0" w:rsidRPr="00676651" w:rsidRDefault="004549F0" w:rsidP="00D5047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D87D03">
              <w:rPr>
                <w:rFonts w:ascii="Times New Roman" w:hAnsi="Times New Roman"/>
                <w:szCs w:val="24"/>
              </w:rPr>
              <w:t>A</w:t>
            </w:r>
            <w:r w:rsidR="00AF6B14" w:rsidRPr="00D87D03">
              <w:rPr>
                <w:rFonts w:ascii="Times New Roman" w:hAnsi="Times New Roman"/>
                <w:szCs w:val="24"/>
              </w:rPr>
              <w:t xml:space="preserve">ppropriate pretreatment for oil and </w:t>
            </w:r>
            <w:r w:rsidR="002E7057">
              <w:rPr>
                <w:rFonts w:ascii="Times New Roman" w:hAnsi="Times New Roman"/>
                <w:szCs w:val="24"/>
              </w:rPr>
              <w:t>debris</w:t>
            </w:r>
            <w:r w:rsidR="008E4BD8">
              <w:rPr>
                <w:rFonts w:ascii="Times New Roman" w:hAnsi="Times New Roman"/>
                <w:szCs w:val="24"/>
              </w:rPr>
              <w:t xml:space="preserve"> </w:t>
            </w:r>
            <w:r w:rsidR="00AF6B14" w:rsidRPr="00D87D03">
              <w:rPr>
                <w:rFonts w:ascii="Times New Roman" w:hAnsi="Times New Roman"/>
                <w:szCs w:val="24"/>
              </w:rPr>
              <w:t>to prevent clogging.</w:t>
            </w:r>
            <w:r w:rsidRPr="00D87D03">
              <w:rPr>
                <w:rFonts w:ascii="Times New Roman" w:hAnsi="Times New Roman"/>
                <w:szCs w:val="24"/>
              </w:rPr>
              <w:t xml:space="preserve"> </w:t>
            </w:r>
            <w:r w:rsidR="00D87D03" w:rsidRPr="00D87D03">
              <w:rPr>
                <w:rFonts w:ascii="Times New Roman" w:hAnsi="Times New Roman"/>
                <w:szCs w:val="24"/>
              </w:rPr>
              <w:t>Appropriate pretreatment devices include a pre-settling basin or a basic treatment BMP.</w:t>
            </w:r>
          </w:p>
        </w:tc>
      </w:tr>
      <w:tr w:rsidR="004549F0" w:rsidRPr="00B36276" w14:paraId="43D2FF5B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104E7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75D667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F0802" w14:textId="234C58D0" w:rsidR="004549F0" w:rsidRPr="00676651" w:rsidRDefault="004549F0" w:rsidP="00E302BF">
            <w:pPr>
              <w:rPr>
                <w:highlight w:val="yellow"/>
              </w:rPr>
            </w:pPr>
            <w:r w:rsidRPr="00AF6B14">
              <w:rPr>
                <w:rFonts w:ascii="Times New Roman" w:hAnsi="Times New Roman"/>
                <w:szCs w:val="24"/>
              </w:rPr>
              <w:t xml:space="preserve">Access roads to the control structure are provided (at least one access point per cell), designed and constructed as specified </w:t>
            </w:r>
            <w:r w:rsidR="00AF6B14" w:rsidRPr="00AF6B14">
              <w:rPr>
                <w:rFonts w:ascii="Times New Roman" w:hAnsi="Times New Roman"/>
                <w:szCs w:val="24"/>
              </w:rPr>
              <w:t>in Volume V, Appendix V-D</w:t>
            </w:r>
            <w:r w:rsidRPr="00AF6B14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4549F0" w:rsidRPr="00B36276" w14:paraId="05304B7A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319AE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CE86C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D6AA0" w14:textId="0B696600" w:rsidR="004549F0" w:rsidRPr="00676651" w:rsidRDefault="004549F0" w:rsidP="00E302BF">
            <w:pPr>
              <w:rPr>
                <w:highlight w:val="yellow"/>
              </w:rPr>
            </w:pPr>
            <w:r w:rsidRPr="00676651">
              <w:rPr>
                <w:rFonts w:ascii="Times New Roman" w:hAnsi="Times New Roman"/>
                <w:szCs w:val="24"/>
              </w:rPr>
              <w:t xml:space="preserve">Infiltration basin sign requirement are met (as specified in Volume </w:t>
            </w:r>
            <w:r w:rsidR="00676651" w:rsidRPr="00676651">
              <w:rPr>
                <w:rFonts w:ascii="Times New Roman" w:hAnsi="Times New Roman"/>
                <w:szCs w:val="24"/>
              </w:rPr>
              <w:t>V</w:t>
            </w:r>
            <w:r w:rsidRPr="00676651">
              <w:rPr>
                <w:rFonts w:ascii="Times New Roman" w:hAnsi="Times New Roman"/>
                <w:szCs w:val="24"/>
              </w:rPr>
              <w:t xml:space="preserve">, </w:t>
            </w:r>
            <w:r w:rsidR="00676651" w:rsidRPr="00676651">
              <w:rPr>
                <w:rFonts w:ascii="Times New Roman" w:hAnsi="Times New Roman"/>
                <w:szCs w:val="24"/>
              </w:rPr>
              <w:t>Appendix V-E</w:t>
            </w:r>
            <w:r w:rsidRPr="00676651">
              <w:rPr>
                <w:rFonts w:ascii="Times New Roman" w:hAnsi="Times New Roman"/>
                <w:szCs w:val="24"/>
              </w:rPr>
              <w:t>).</w:t>
            </w:r>
          </w:p>
        </w:tc>
      </w:tr>
      <w:tr w:rsidR="004549F0" w:rsidRPr="00B36276" w14:paraId="15FBD3B9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8BF1E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8D9C9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7D67A" w14:textId="4A98FB05" w:rsidR="004549F0" w:rsidRPr="00676651" w:rsidRDefault="004549F0" w:rsidP="00E83F53">
            <w:pPr>
              <w:pStyle w:val="Bullet1"/>
              <w:numPr>
                <w:ilvl w:val="0"/>
                <w:numId w:val="0"/>
              </w:numPr>
              <w:spacing w:after="0"/>
            </w:pPr>
            <w:r w:rsidRPr="00676651">
              <w:t>The slope of the basin bottom does not exceed 3% in any direction.</w:t>
            </w:r>
          </w:p>
        </w:tc>
      </w:tr>
      <w:tr w:rsidR="004549F0" w:rsidRPr="00B36276" w14:paraId="134449EF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1F2D0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CEDE7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FF96AE" w14:textId="4721E948" w:rsidR="004549F0" w:rsidRPr="00676651" w:rsidRDefault="004549F0" w:rsidP="00E37EFF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676651">
              <w:t>Freeboard is at least 1 foot.</w:t>
            </w:r>
          </w:p>
        </w:tc>
      </w:tr>
      <w:tr w:rsidR="004549F0" w:rsidRPr="00B36276" w14:paraId="169F840B" w14:textId="77777777" w:rsidTr="004549F0"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69483F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056877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855877" w14:textId="4C24D292" w:rsidR="004549F0" w:rsidRPr="00AF6B14" w:rsidRDefault="004549F0" w:rsidP="00E302BF">
            <w:pPr>
              <w:pStyle w:val="Bullet1"/>
              <w:numPr>
                <w:ilvl w:val="0"/>
                <w:numId w:val="0"/>
              </w:numPr>
              <w:spacing w:after="0"/>
            </w:pPr>
            <w:r w:rsidRPr="00AF6B14">
              <w:t xml:space="preserve">The embankment, emergency spillways, spoil and borrow areas, and other disturbed areas are stabilized and planted in accordance with the stormwater site plan. </w:t>
            </w:r>
            <w:r w:rsidR="00AF6B14" w:rsidRPr="00AF6B14">
              <w:t>See Volume V, Appendix V-E</w:t>
            </w:r>
            <w:r w:rsidRPr="00AF6B14">
              <w:t xml:space="preserve"> for recommended vegetation and seed mixtures.</w:t>
            </w:r>
          </w:p>
        </w:tc>
      </w:tr>
      <w:tr w:rsidR="004549F0" w:rsidRPr="00B36276" w14:paraId="752F69CD" w14:textId="77777777" w:rsidTr="004549F0">
        <w:trPr>
          <w:trHeight w:val="53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1C92217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2D908A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BBFB5C" w14:textId="09E4B23B" w:rsidR="004549F0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CONSTRUCTION CRITERIA</w:t>
            </w:r>
          </w:p>
          <w:p w14:paraId="2B0EE336" w14:textId="0273D7DF" w:rsidR="004549F0" w:rsidRPr="00F523AF" w:rsidRDefault="004549F0" w:rsidP="00D2299A">
            <w:pPr>
              <w:autoSpaceDE w:val="0"/>
              <w:autoSpaceDN w:val="0"/>
              <w:adjustRightInd w:val="0"/>
              <w:jc w:val="center"/>
            </w:pPr>
          </w:p>
        </w:tc>
      </w:tr>
      <w:tr w:rsidR="004549F0" w:rsidRPr="00B36276" w14:paraId="34F5498F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B89C9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19AF1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1EEDD" w14:textId="77777777" w:rsidR="004549F0" w:rsidRPr="00E575FE" w:rsidRDefault="004549F0" w:rsidP="00D50470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 xml:space="preserve">A soil and vegetation management plan is provided showing areas to be protected and restoration methods for disturbed areas. </w:t>
            </w:r>
          </w:p>
        </w:tc>
      </w:tr>
      <w:tr w:rsidR="004549F0" w:rsidRPr="00B36276" w14:paraId="462DD576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9BFD0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06C12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EE2C2" w14:textId="6C064453" w:rsidR="004549F0" w:rsidRPr="00E575FE" w:rsidRDefault="004549F0" w:rsidP="00D50470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>The infiltration basin area is clearly identified (e.g., using flagging or high visibility fencing) and protected prior to construction.</w:t>
            </w:r>
          </w:p>
        </w:tc>
      </w:tr>
      <w:tr w:rsidR="004549F0" w:rsidRPr="00B36276" w14:paraId="2F2F7F34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44BB0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89D0B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D7D60" w14:textId="25F35652" w:rsidR="004549F0" w:rsidRPr="00E575FE" w:rsidRDefault="004549F0" w:rsidP="00D50470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>Infiltration basin areas are not excavated during wet or saturated conditions.</w:t>
            </w:r>
          </w:p>
        </w:tc>
      </w:tr>
      <w:tr w:rsidR="004549F0" w:rsidRPr="00B36276" w14:paraId="0CBAC5DB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0095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43D8D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A39DE" w14:textId="4A643667" w:rsidR="004549F0" w:rsidRPr="00E575FE" w:rsidRDefault="004549F0" w:rsidP="00D50470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>Machinery is operated only outside of infiltration basin during construction.</w:t>
            </w:r>
          </w:p>
        </w:tc>
      </w:tr>
      <w:tr w:rsidR="004549F0" w:rsidRPr="00B36276" w14:paraId="1A1D05B1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57CA9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C2B25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01CC8" w14:textId="248DC6FA" w:rsidR="004549F0" w:rsidRPr="00E575FE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</w:pPr>
            <w:r w:rsidRPr="00616FA1">
              <w:t xml:space="preserve">Initial basin excavation is conducted to within </w:t>
            </w:r>
            <w:r w:rsidRPr="00616FA1">
              <w:t>2</w:t>
            </w:r>
            <w:r w:rsidRPr="00616FA1">
              <w:t> feet of the final elevation of the basin floor.</w:t>
            </w:r>
            <w:r w:rsidRPr="00E575FE">
              <w:t xml:space="preserve"> </w:t>
            </w:r>
          </w:p>
        </w:tc>
      </w:tr>
      <w:tr w:rsidR="004549F0" w:rsidRPr="00B36276" w14:paraId="5BB3D818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64D59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24FB0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7CC43" w14:textId="12F6048E" w:rsidR="004549F0" w:rsidRPr="00676651" w:rsidRDefault="004549F0">
            <w:pPr>
              <w:pStyle w:val="Bullet1"/>
              <w:numPr>
                <w:ilvl w:val="0"/>
                <w:numId w:val="0"/>
              </w:numPr>
              <w:spacing w:after="0"/>
              <w:rPr>
                <w:highlight w:val="yellow"/>
              </w:rPr>
            </w:pPr>
            <w:r w:rsidRPr="00E575FE">
              <w:t xml:space="preserve">Construction SWPPP sheets outline construction sequencing that will protect the infiltration area during construction and addresses the inspection requirements identified here. </w:t>
            </w:r>
          </w:p>
        </w:tc>
      </w:tr>
      <w:tr w:rsidR="004549F0" w:rsidRPr="00B36276" w14:paraId="053F9D23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71688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8307B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8A6B1" w14:textId="4F01AD9C" w:rsidR="004549F0" w:rsidRPr="00E575FE" w:rsidRDefault="004549F0" w:rsidP="00D2299A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>Construction SWPPP BMPs and protection techniques are implemented as applicable. The upslope of construction areas are stabilized and overland flow distances are minimized.</w:t>
            </w:r>
          </w:p>
        </w:tc>
      </w:tr>
      <w:tr w:rsidR="004549F0" w:rsidRPr="00B36276" w14:paraId="6D874EBC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A5A1E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0BCA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10486" w14:textId="77777777" w:rsidR="004549F0" w:rsidRPr="00E575FE" w:rsidRDefault="004549F0" w:rsidP="00D50470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 xml:space="preserve">Disturbed areas in the upgradient project drainage area are permanently stabilized prior to excavating infiltration basins to final grade. </w:t>
            </w:r>
          </w:p>
        </w:tc>
      </w:tr>
      <w:tr w:rsidR="004549F0" w:rsidRPr="00B36276" w14:paraId="60D586E5" w14:textId="77777777" w:rsidTr="004549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AD62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6A75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ECE2" w14:textId="1BD78666" w:rsidR="004549F0" w:rsidRPr="00E575FE" w:rsidRDefault="004549F0">
            <w:pPr>
              <w:pStyle w:val="Bullet1"/>
              <w:numPr>
                <w:ilvl w:val="0"/>
                <w:numId w:val="0"/>
              </w:numPr>
              <w:spacing w:after="0"/>
            </w:pPr>
            <w:r w:rsidRPr="00E575FE">
              <w:t>All accumulated silt is removed from the infiltration basin (via excavation to final depth) before putting it into service.</w:t>
            </w:r>
          </w:p>
        </w:tc>
      </w:tr>
      <w:tr w:rsidR="004549F0" w:rsidRPr="00B36276" w14:paraId="31371869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C0FE4D4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8CA661E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EF95838" w14:textId="77777777" w:rsidR="00E575FE" w:rsidRDefault="004549F0" w:rsidP="00E575F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360AF">
              <w:rPr>
                <w:rFonts w:ascii="Times New Roman" w:hAnsi="Times New Roman"/>
                <w:b/>
                <w:szCs w:val="24"/>
              </w:rPr>
              <w:t>INSPECTION CRITERIA</w:t>
            </w:r>
          </w:p>
          <w:p w14:paraId="17BC6338" w14:textId="344C522D" w:rsidR="00E575FE" w:rsidRDefault="00E575FE" w:rsidP="00E575F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549F0" w:rsidRPr="00B36276" w14:paraId="457FE7F5" w14:textId="77777777" w:rsidTr="004549F0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82E86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DA8DD" w14:textId="77777777" w:rsidR="004549F0" w:rsidRPr="00B36276" w:rsidRDefault="004549F0" w:rsidP="00D5047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40C7D" w14:textId="678AC161" w:rsidR="004549F0" w:rsidRPr="00E575FE" w:rsidRDefault="004549F0" w:rsidP="00D50470">
            <w:pPr>
              <w:rPr>
                <w:rFonts w:ascii="Times New Roman" w:hAnsi="Times New Roman"/>
                <w:b/>
                <w:szCs w:val="24"/>
              </w:rPr>
            </w:pPr>
            <w:r w:rsidRPr="00E575FE">
              <w:rPr>
                <w:rFonts w:ascii="Times New Roman" w:hAnsi="Times New Roman"/>
                <w:szCs w:val="24"/>
              </w:rPr>
              <w:t>The infiltration basin meets applicable design and construction criteria (see Design and Construction Criteria above).</w:t>
            </w:r>
          </w:p>
        </w:tc>
      </w:tr>
    </w:tbl>
    <w:p w14:paraId="5A8E15C3" w14:textId="77777777" w:rsidR="00E37EFF" w:rsidRDefault="00E37EFF" w:rsidP="0040273E">
      <w:pPr>
        <w:rPr>
          <w:rFonts w:ascii="Times New Roman" w:hAnsi="Times New Roman"/>
        </w:rPr>
      </w:pPr>
    </w:p>
    <w:sectPr w:rsidR="00E37EFF" w:rsidSect="0057523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152" w:right="1440" w:bottom="864" w:left="158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1D6D" w14:textId="77777777" w:rsidR="001B4056" w:rsidRDefault="001B4056" w:rsidP="00753267">
      <w:r>
        <w:separator/>
      </w:r>
    </w:p>
  </w:endnote>
  <w:endnote w:type="continuationSeparator" w:id="0">
    <w:p w14:paraId="1003B6F3" w14:textId="77777777" w:rsidR="001B4056" w:rsidRDefault="001B4056" w:rsidP="0075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7689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F835D" w14:textId="16D8F092" w:rsidR="00111A2E" w:rsidRDefault="00111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CD9F61" w14:textId="77777777" w:rsidR="00111A2E" w:rsidRDefault="00111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0622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4D91E" w14:textId="0A3053CB" w:rsidR="00111A2E" w:rsidRDefault="00111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E9894A" w14:textId="2A3EB99D" w:rsidR="00111A2E" w:rsidRDefault="00111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8BEB" w14:textId="77777777" w:rsidR="001B4056" w:rsidRDefault="001B4056" w:rsidP="00753267">
      <w:r>
        <w:separator/>
      </w:r>
    </w:p>
  </w:footnote>
  <w:footnote w:type="continuationSeparator" w:id="0">
    <w:p w14:paraId="487C25B0" w14:textId="77777777" w:rsidR="001B4056" w:rsidRDefault="001B4056" w:rsidP="0075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4C519" w14:textId="33A65143" w:rsidR="00111A2E" w:rsidRPr="001A2482" w:rsidRDefault="00111A2E" w:rsidP="001A2482">
    <w:pPr>
      <w:tabs>
        <w:tab w:val="right" w:pos="9900"/>
      </w:tabs>
      <w:spacing w:before="100" w:beforeAutospacing="1" w:after="100" w:afterAutospacing="1"/>
      <w:contextualSpacing/>
      <w:jc w:val="righ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2B6DB" w14:textId="77777777" w:rsidR="004549F0" w:rsidRPr="0040273E" w:rsidRDefault="004549F0" w:rsidP="004549F0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Checklist </w:t>
    </w:r>
    <w:r w:rsidRPr="004549F0">
      <w:rPr>
        <w:rFonts w:ascii="Times New Roman" w:hAnsi="Times New Roman"/>
        <w:b/>
        <w:sz w:val="32"/>
        <w:szCs w:val="32"/>
      </w:rPr>
      <w:t>IN.01 Infiltration Basins</w:t>
    </w:r>
    <w:r>
      <w:rPr>
        <w:rFonts w:ascii="Times New Roman" w:hAnsi="Times New Roman"/>
        <w:b/>
        <w:sz w:val="32"/>
        <w:szCs w:val="32"/>
      </w:rPr>
      <w:t xml:space="preserve"> </w:t>
    </w:r>
  </w:p>
  <w:p w14:paraId="5695A262" w14:textId="63D8EDAB" w:rsidR="00111A2E" w:rsidRPr="004549F0" w:rsidRDefault="00111A2E" w:rsidP="00454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5B11"/>
    <w:multiLevelType w:val="hybridMultilevel"/>
    <w:tmpl w:val="701C45DA"/>
    <w:lvl w:ilvl="0" w:tplc="222E88F0">
      <w:start w:val="1"/>
      <w:numFmt w:val="bullet"/>
      <w:lvlText w:val="·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941"/>
    <w:multiLevelType w:val="hybridMultilevel"/>
    <w:tmpl w:val="EAA2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5E85"/>
    <w:multiLevelType w:val="hybridMultilevel"/>
    <w:tmpl w:val="E2F6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75BB"/>
    <w:multiLevelType w:val="hybridMultilevel"/>
    <w:tmpl w:val="B614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4AA6"/>
    <w:multiLevelType w:val="hybridMultilevel"/>
    <w:tmpl w:val="014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D2FFA"/>
    <w:multiLevelType w:val="hybridMultilevel"/>
    <w:tmpl w:val="84F6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E2485"/>
    <w:multiLevelType w:val="hybridMultilevel"/>
    <w:tmpl w:val="885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06BBB"/>
    <w:multiLevelType w:val="singleLevel"/>
    <w:tmpl w:val="288CEB76"/>
    <w:lvl w:ilvl="0">
      <w:start w:val="1"/>
      <w:numFmt w:val="decimal"/>
      <w:lvlText w:val="%1.  ____"/>
      <w:lvlJc w:val="left"/>
      <w:pPr>
        <w:tabs>
          <w:tab w:val="num" w:pos="1620"/>
        </w:tabs>
        <w:ind w:left="1620" w:hanging="1080"/>
      </w:pPr>
      <w:rPr>
        <w:b w:val="0"/>
        <w:i w:val="0"/>
      </w:rPr>
    </w:lvl>
  </w:abstractNum>
  <w:abstractNum w:abstractNumId="8" w15:restartNumberingAfterBreak="0">
    <w:nsid w:val="254F038C"/>
    <w:multiLevelType w:val="hybridMultilevel"/>
    <w:tmpl w:val="63F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775A"/>
    <w:multiLevelType w:val="hybridMultilevel"/>
    <w:tmpl w:val="F176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73705"/>
    <w:multiLevelType w:val="singleLevel"/>
    <w:tmpl w:val="288CEB76"/>
    <w:lvl w:ilvl="0">
      <w:start w:val="1"/>
      <w:numFmt w:val="decimal"/>
      <w:lvlText w:val="%1.  ____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</w:abstractNum>
  <w:abstractNum w:abstractNumId="11" w15:restartNumberingAfterBreak="0">
    <w:nsid w:val="2BC55161"/>
    <w:multiLevelType w:val="hybridMultilevel"/>
    <w:tmpl w:val="7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30E33"/>
    <w:multiLevelType w:val="hybridMultilevel"/>
    <w:tmpl w:val="F960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825CD"/>
    <w:multiLevelType w:val="hybridMultilevel"/>
    <w:tmpl w:val="B746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6187"/>
    <w:multiLevelType w:val="hybridMultilevel"/>
    <w:tmpl w:val="C96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279B"/>
    <w:multiLevelType w:val="hybridMultilevel"/>
    <w:tmpl w:val="339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24F4"/>
    <w:multiLevelType w:val="hybridMultilevel"/>
    <w:tmpl w:val="A4C6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43A3C"/>
    <w:multiLevelType w:val="hybridMultilevel"/>
    <w:tmpl w:val="89CE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5751F"/>
    <w:multiLevelType w:val="hybridMultilevel"/>
    <w:tmpl w:val="CA6C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F61FE"/>
    <w:multiLevelType w:val="hybridMultilevel"/>
    <w:tmpl w:val="B052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449E"/>
    <w:multiLevelType w:val="hybridMultilevel"/>
    <w:tmpl w:val="49D0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458B"/>
    <w:multiLevelType w:val="hybridMultilevel"/>
    <w:tmpl w:val="6D8C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22D4"/>
    <w:multiLevelType w:val="hybridMultilevel"/>
    <w:tmpl w:val="9306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312DD"/>
    <w:multiLevelType w:val="hybridMultilevel"/>
    <w:tmpl w:val="A0F6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0466F4"/>
    <w:multiLevelType w:val="hybridMultilevel"/>
    <w:tmpl w:val="FB74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5324"/>
    <w:multiLevelType w:val="hybridMultilevel"/>
    <w:tmpl w:val="A22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106A4"/>
    <w:multiLevelType w:val="hybridMultilevel"/>
    <w:tmpl w:val="00B43D48"/>
    <w:lvl w:ilvl="0" w:tplc="6C78C39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A06B1"/>
    <w:multiLevelType w:val="hybridMultilevel"/>
    <w:tmpl w:val="CE9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A0912"/>
    <w:multiLevelType w:val="hybridMultilevel"/>
    <w:tmpl w:val="5C98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22319"/>
    <w:multiLevelType w:val="hybridMultilevel"/>
    <w:tmpl w:val="7F70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402"/>
    <w:multiLevelType w:val="hybridMultilevel"/>
    <w:tmpl w:val="339E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6D76"/>
    <w:multiLevelType w:val="hybridMultilevel"/>
    <w:tmpl w:val="FAA2A0C8"/>
    <w:lvl w:ilvl="0" w:tplc="A7D6390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AA91547"/>
    <w:multiLevelType w:val="hybridMultilevel"/>
    <w:tmpl w:val="B3565C88"/>
    <w:lvl w:ilvl="0" w:tplc="176AC65E">
      <w:start w:val="1"/>
      <w:numFmt w:val="bullet"/>
      <w:pStyle w:val="Bullet1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  <w:lvl w:ilvl="1" w:tplc="94587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886F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871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8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326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84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03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DE8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106CE"/>
    <w:multiLevelType w:val="hybridMultilevel"/>
    <w:tmpl w:val="91E8F288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30DA9"/>
    <w:multiLevelType w:val="hybridMultilevel"/>
    <w:tmpl w:val="7900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647A7"/>
    <w:multiLevelType w:val="hybridMultilevel"/>
    <w:tmpl w:val="E55C8EF2"/>
    <w:lvl w:ilvl="0" w:tplc="431007D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1350A"/>
    <w:multiLevelType w:val="hybridMultilevel"/>
    <w:tmpl w:val="0636B7B8"/>
    <w:lvl w:ilvl="0" w:tplc="FF9492D0">
      <w:start w:val="1"/>
      <w:numFmt w:val="bullet"/>
      <w:pStyle w:val="ListBullet2"/>
      <w:lvlText w:val=""/>
      <w:lvlJc w:val="left"/>
      <w:pPr>
        <w:ind w:left="426" w:hanging="302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FEE67E0">
      <w:start w:val="1"/>
      <w:numFmt w:val="bullet"/>
      <w:lvlText w:val=""/>
      <w:lvlJc w:val="left"/>
      <w:pPr>
        <w:ind w:left="682" w:hanging="298"/>
      </w:pPr>
      <w:rPr>
        <w:rFonts w:ascii="Wingdings" w:eastAsia="Wingdings" w:hAnsi="Wingdings" w:hint="default"/>
        <w:color w:val="231F20"/>
        <w:sz w:val="16"/>
        <w:szCs w:val="16"/>
      </w:rPr>
    </w:lvl>
    <w:lvl w:ilvl="2" w:tplc="F7EA9792">
      <w:start w:val="1"/>
      <w:numFmt w:val="bullet"/>
      <w:lvlText w:val="•"/>
      <w:lvlJc w:val="left"/>
      <w:pPr>
        <w:ind w:left="680" w:hanging="298"/>
      </w:pPr>
      <w:rPr>
        <w:rFonts w:hint="default"/>
      </w:rPr>
    </w:lvl>
    <w:lvl w:ilvl="3" w:tplc="559C9352">
      <w:start w:val="1"/>
      <w:numFmt w:val="bullet"/>
      <w:lvlText w:val="•"/>
      <w:lvlJc w:val="left"/>
      <w:pPr>
        <w:ind w:left="682" w:hanging="298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ind w:left="682" w:hanging="298"/>
      </w:pPr>
      <w:rPr>
        <w:rFonts w:ascii="Wingdings" w:hAnsi="Wingdings" w:hint="default"/>
      </w:rPr>
    </w:lvl>
    <w:lvl w:ilvl="5" w:tplc="8CC60550">
      <w:start w:val="1"/>
      <w:numFmt w:val="bullet"/>
      <w:lvlText w:val="•"/>
      <w:lvlJc w:val="left"/>
      <w:pPr>
        <w:ind w:left="689" w:hanging="298"/>
      </w:pPr>
      <w:rPr>
        <w:rFonts w:hint="default"/>
      </w:rPr>
    </w:lvl>
    <w:lvl w:ilvl="6" w:tplc="46187826">
      <w:start w:val="1"/>
      <w:numFmt w:val="bullet"/>
      <w:lvlText w:val="•"/>
      <w:lvlJc w:val="left"/>
      <w:pPr>
        <w:ind w:left="3438" w:hanging="298"/>
      </w:pPr>
      <w:rPr>
        <w:rFonts w:hint="default"/>
      </w:rPr>
    </w:lvl>
    <w:lvl w:ilvl="7" w:tplc="E7C05C78">
      <w:start w:val="1"/>
      <w:numFmt w:val="bullet"/>
      <w:lvlText w:val="•"/>
      <w:lvlJc w:val="left"/>
      <w:pPr>
        <w:ind w:left="2500" w:hanging="298"/>
      </w:pPr>
      <w:rPr>
        <w:rFonts w:hint="default"/>
      </w:rPr>
    </w:lvl>
    <w:lvl w:ilvl="8" w:tplc="F6DA8BDC">
      <w:start w:val="1"/>
      <w:numFmt w:val="bullet"/>
      <w:lvlText w:val="•"/>
      <w:lvlJc w:val="left"/>
      <w:pPr>
        <w:ind w:left="1561" w:hanging="298"/>
      </w:pPr>
      <w:rPr>
        <w:rFonts w:hint="default"/>
      </w:rPr>
    </w:lvl>
  </w:abstractNum>
  <w:abstractNum w:abstractNumId="37" w15:restartNumberingAfterBreak="0">
    <w:nsid w:val="7F8152C6"/>
    <w:multiLevelType w:val="hybridMultilevel"/>
    <w:tmpl w:val="B48A8FFC"/>
    <w:lvl w:ilvl="0" w:tplc="1D4AF108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3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36"/>
  </w:num>
  <w:num w:numId="10">
    <w:abstractNumId w:val="26"/>
  </w:num>
  <w:num w:numId="11">
    <w:abstractNumId w:val="22"/>
  </w:num>
  <w:num w:numId="12">
    <w:abstractNumId w:val="30"/>
  </w:num>
  <w:num w:numId="13">
    <w:abstractNumId w:val="5"/>
  </w:num>
  <w:num w:numId="14">
    <w:abstractNumId w:val="20"/>
  </w:num>
  <w:num w:numId="15">
    <w:abstractNumId w:val="4"/>
  </w:num>
  <w:num w:numId="16">
    <w:abstractNumId w:val="25"/>
  </w:num>
  <w:num w:numId="17">
    <w:abstractNumId w:val="14"/>
  </w:num>
  <w:num w:numId="18">
    <w:abstractNumId w:val="6"/>
  </w:num>
  <w:num w:numId="19">
    <w:abstractNumId w:val="24"/>
  </w:num>
  <w:num w:numId="20">
    <w:abstractNumId w:val="8"/>
  </w:num>
  <w:num w:numId="21">
    <w:abstractNumId w:val="28"/>
  </w:num>
  <w:num w:numId="22">
    <w:abstractNumId w:val="18"/>
  </w:num>
  <w:num w:numId="23">
    <w:abstractNumId w:val="9"/>
  </w:num>
  <w:num w:numId="24">
    <w:abstractNumId w:val="21"/>
  </w:num>
  <w:num w:numId="25">
    <w:abstractNumId w:val="3"/>
  </w:num>
  <w:num w:numId="26">
    <w:abstractNumId w:val="2"/>
  </w:num>
  <w:num w:numId="27">
    <w:abstractNumId w:val="17"/>
  </w:num>
  <w:num w:numId="28">
    <w:abstractNumId w:val="27"/>
  </w:num>
  <w:num w:numId="29">
    <w:abstractNumId w:val="35"/>
  </w:num>
  <w:num w:numId="30">
    <w:abstractNumId w:val="33"/>
  </w:num>
  <w:num w:numId="31">
    <w:abstractNumId w:val="1"/>
  </w:num>
  <w:num w:numId="32">
    <w:abstractNumId w:val="12"/>
  </w:num>
  <w:num w:numId="33">
    <w:abstractNumId w:val="13"/>
  </w:num>
  <w:num w:numId="34">
    <w:abstractNumId w:val="32"/>
  </w:num>
  <w:num w:numId="35">
    <w:abstractNumId w:val="19"/>
  </w:num>
  <w:num w:numId="36">
    <w:abstractNumId w:val="29"/>
  </w:num>
  <w:num w:numId="37">
    <w:abstractNumId w:val="15"/>
  </w:num>
  <w:num w:numId="38">
    <w:abstractNumId w:val="16"/>
  </w:num>
  <w:num w:numId="39">
    <w:abstractNumId w:val="32"/>
  </w:num>
  <w:num w:numId="40">
    <w:abstractNumId w:val="32"/>
  </w:num>
  <w:num w:numId="41">
    <w:abstractNumId w:val="32"/>
  </w:num>
  <w:num w:numId="42">
    <w:abstractNumId w:val="32"/>
  </w:num>
  <w:num w:numId="43">
    <w:abstractNumId w:val="32"/>
  </w:num>
  <w:num w:numId="44">
    <w:abstractNumId w:val="32"/>
  </w:num>
  <w:num w:numId="45">
    <w:abstractNumId w:val="32"/>
  </w:num>
  <w:num w:numId="46">
    <w:abstractNumId w:val="32"/>
  </w:num>
  <w:num w:numId="47">
    <w:abstractNumId w:val="32"/>
  </w:num>
  <w:num w:numId="48">
    <w:abstractNumId w:val="32"/>
  </w:num>
  <w:num w:numId="49">
    <w:abstractNumId w:val="32"/>
  </w:num>
  <w:num w:numId="50">
    <w:abstractNumId w:val="32"/>
  </w:num>
  <w:num w:numId="51">
    <w:abstractNumId w:val="32"/>
  </w:num>
  <w:num w:numId="52">
    <w:abstractNumId w:val="32"/>
  </w:num>
  <w:num w:numId="53">
    <w:abstractNumId w:val="32"/>
  </w:num>
  <w:num w:numId="54">
    <w:abstractNumId w:val="32"/>
  </w:num>
  <w:num w:numId="55">
    <w:abstractNumId w:val="32"/>
  </w:num>
  <w:num w:numId="56">
    <w:abstractNumId w:val="32"/>
  </w:num>
  <w:num w:numId="57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37"/>
  <w:doNotShadeFormData/>
  <w:characterSpacingControl w:val="doNotCompress"/>
  <w:hdrShapeDefaults>
    <o:shapedefaults v:ext="edit" spidmax="14337"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67"/>
    <w:rsid w:val="00004AD0"/>
    <w:rsid w:val="000129A4"/>
    <w:rsid w:val="00016E56"/>
    <w:rsid w:val="00021A38"/>
    <w:rsid w:val="0002343F"/>
    <w:rsid w:val="00027190"/>
    <w:rsid w:val="00043583"/>
    <w:rsid w:val="00047E19"/>
    <w:rsid w:val="00053828"/>
    <w:rsid w:val="000618F3"/>
    <w:rsid w:val="000674A1"/>
    <w:rsid w:val="0007129D"/>
    <w:rsid w:val="00075E67"/>
    <w:rsid w:val="00077052"/>
    <w:rsid w:val="00077152"/>
    <w:rsid w:val="0008393A"/>
    <w:rsid w:val="00087DFF"/>
    <w:rsid w:val="000905A8"/>
    <w:rsid w:val="000927D4"/>
    <w:rsid w:val="00095BA1"/>
    <w:rsid w:val="0009634E"/>
    <w:rsid w:val="0009712A"/>
    <w:rsid w:val="000A0269"/>
    <w:rsid w:val="000A2778"/>
    <w:rsid w:val="000A2DE2"/>
    <w:rsid w:val="000A33B9"/>
    <w:rsid w:val="000D1C7C"/>
    <w:rsid w:val="000D1D6A"/>
    <w:rsid w:val="000E0960"/>
    <w:rsid w:val="000E23D5"/>
    <w:rsid w:val="000E2451"/>
    <w:rsid w:val="000E2CBA"/>
    <w:rsid w:val="000E6EA9"/>
    <w:rsid w:val="000F28FA"/>
    <w:rsid w:val="000F6B52"/>
    <w:rsid w:val="00111A2E"/>
    <w:rsid w:val="00111E8A"/>
    <w:rsid w:val="00111F8A"/>
    <w:rsid w:val="00114A42"/>
    <w:rsid w:val="00114C38"/>
    <w:rsid w:val="001203F3"/>
    <w:rsid w:val="00121A4A"/>
    <w:rsid w:val="001239CB"/>
    <w:rsid w:val="00127A6F"/>
    <w:rsid w:val="001317C8"/>
    <w:rsid w:val="001377FC"/>
    <w:rsid w:val="0015139F"/>
    <w:rsid w:val="001606D9"/>
    <w:rsid w:val="00171C34"/>
    <w:rsid w:val="00176E9E"/>
    <w:rsid w:val="00177FCD"/>
    <w:rsid w:val="001843A6"/>
    <w:rsid w:val="0019341C"/>
    <w:rsid w:val="00194498"/>
    <w:rsid w:val="00195244"/>
    <w:rsid w:val="001A2482"/>
    <w:rsid w:val="001A4452"/>
    <w:rsid w:val="001A7EA3"/>
    <w:rsid w:val="001B061D"/>
    <w:rsid w:val="001B4056"/>
    <w:rsid w:val="001B4478"/>
    <w:rsid w:val="001B664C"/>
    <w:rsid w:val="001C11A0"/>
    <w:rsid w:val="001C3851"/>
    <w:rsid w:val="001C55AC"/>
    <w:rsid w:val="001C7A4D"/>
    <w:rsid w:val="001D06CC"/>
    <w:rsid w:val="001D1BE4"/>
    <w:rsid w:val="001D23AC"/>
    <w:rsid w:val="001D2BE8"/>
    <w:rsid w:val="001D473D"/>
    <w:rsid w:val="001F2F83"/>
    <w:rsid w:val="001F4EBB"/>
    <w:rsid w:val="00202BDA"/>
    <w:rsid w:val="002101DB"/>
    <w:rsid w:val="0021277D"/>
    <w:rsid w:val="002138E2"/>
    <w:rsid w:val="00215B6B"/>
    <w:rsid w:val="002241F7"/>
    <w:rsid w:val="00226225"/>
    <w:rsid w:val="00226495"/>
    <w:rsid w:val="00231EBA"/>
    <w:rsid w:val="00232C71"/>
    <w:rsid w:val="00240495"/>
    <w:rsid w:val="002434DF"/>
    <w:rsid w:val="00272B65"/>
    <w:rsid w:val="00277208"/>
    <w:rsid w:val="00277D05"/>
    <w:rsid w:val="00281DF0"/>
    <w:rsid w:val="002851CA"/>
    <w:rsid w:val="00291AA9"/>
    <w:rsid w:val="002974FE"/>
    <w:rsid w:val="002A1638"/>
    <w:rsid w:val="002A2CB8"/>
    <w:rsid w:val="002A3C27"/>
    <w:rsid w:val="002A4CD5"/>
    <w:rsid w:val="002A4DEA"/>
    <w:rsid w:val="002A5415"/>
    <w:rsid w:val="002A6C26"/>
    <w:rsid w:val="002B474F"/>
    <w:rsid w:val="002B476E"/>
    <w:rsid w:val="002B4940"/>
    <w:rsid w:val="002B5910"/>
    <w:rsid w:val="002C0404"/>
    <w:rsid w:val="002C1A23"/>
    <w:rsid w:val="002D175F"/>
    <w:rsid w:val="002D47A5"/>
    <w:rsid w:val="002E7057"/>
    <w:rsid w:val="002F582B"/>
    <w:rsid w:val="00300831"/>
    <w:rsid w:val="00310592"/>
    <w:rsid w:val="00310EDD"/>
    <w:rsid w:val="003135C6"/>
    <w:rsid w:val="00333425"/>
    <w:rsid w:val="00340F81"/>
    <w:rsid w:val="0034263E"/>
    <w:rsid w:val="00354EE6"/>
    <w:rsid w:val="00355F1B"/>
    <w:rsid w:val="0035749E"/>
    <w:rsid w:val="00364F8A"/>
    <w:rsid w:val="00382B35"/>
    <w:rsid w:val="00382C64"/>
    <w:rsid w:val="003839A3"/>
    <w:rsid w:val="00384385"/>
    <w:rsid w:val="00385BD9"/>
    <w:rsid w:val="003907B9"/>
    <w:rsid w:val="00397F14"/>
    <w:rsid w:val="003A167D"/>
    <w:rsid w:val="003A1D65"/>
    <w:rsid w:val="003A2ACC"/>
    <w:rsid w:val="003B23ED"/>
    <w:rsid w:val="003B295C"/>
    <w:rsid w:val="003B5817"/>
    <w:rsid w:val="003C1743"/>
    <w:rsid w:val="003C1BCC"/>
    <w:rsid w:val="003C551E"/>
    <w:rsid w:val="003E6C1E"/>
    <w:rsid w:val="003E7B51"/>
    <w:rsid w:val="0040273E"/>
    <w:rsid w:val="0040710E"/>
    <w:rsid w:val="004113A4"/>
    <w:rsid w:val="00412E9C"/>
    <w:rsid w:val="00413E98"/>
    <w:rsid w:val="00421130"/>
    <w:rsid w:val="00421BE5"/>
    <w:rsid w:val="00422E9C"/>
    <w:rsid w:val="00430048"/>
    <w:rsid w:val="00442BB6"/>
    <w:rsid w:val="00450966"/>
    <w:rsid w:val="00451739"/>
    <w:rsid w:val="004535F6"/>
    <w:rsid w:val="004549F0"/>
    <w:rsid w:val="00455AEA"/>
    <w:rsid w:val="00460CAC"/>
    <w:rsid w:val="00463DC2"/>
    <w:rsid w:val="00464A1E"/>
    <w:rsid w:val="004728E1"/>
    <w:rsid w:val="004758AC"/>
    <w:rsid w:val="0048274C"/>
    <w:rsid w:val="00483BEF"/>
    <w:rsid w:val="00485F73"/>
    <w:rsid w:val="0049106E"/>
    <w:rsid w:val="004954D5"/>
    <w:rsid w:val="00495748"/>
    <w:rsid w:val="004B5D04"/>
    <w:rsid w:val="004C38AC"/>
    <w:rsid w:val="004D19C8"/>
    <w:rsid w:val="004D5174"/>
    <w:rsid w:val="004F213A"/>
    <w:rsid w:val="0050510B"/>
    <w:rsid w:val="005052C3"/>
    <w:rsid w:val="00512017"/>
    <w:rsid w:val="00512450"/>
    <w:rsid w:val="00515F25"/>
    <w:rsid w:val="005201D5"/>
    <w:rsid w:val="00525237"/>
    <w:rsid w:val="0052660B"/>
    <w:rsid w:val="00526F31"/>
    <w:rsid w:val="005326BE"/>
    <w:rsid w:val="00533A26"/>
    <w:rsid w:val="0053710E"/>
    <w:rsid w:val="00543509"/>
    <w:rsid w:val="00551683"/>
    <w:rsid w:val="005545C8"/>
    <w:rsid w:val="0056433D"/>
    <w:rsid w:val="0057030A"/>
    <w:rsid w:val="00571432"/>
    <w:rsid w:val="005719A7"/>
    <w:rsid w:val="00574CB5"/>
    <w:rsid w:val="0057523F"/>
    <w:rsid w:val="005775B7"/>
    <w:rsid w:val="00581493"/>
    <w:rsid w:val="005855F9"/>
    <w:rsid w:val="00586F12"/>
    <w:rsid w:val="0058796C"/>
    <w:rsid w:val="0059206F"/>
    <w:rsid w:val="00592ACB"/>
    <w:rsid w:val="005A3708"/>
    <w:rsid w:val="005A7D7B"/>
    <w:rsid w:val="005B47C5"/>
    <w:rsid w:val="005C0DB6"/>
    <w:rsid w:val="005C2683"/>
    <w:rsid w:val="005C794D"/>
    <w:rsid w:val="005D0D80"/>
    <w:rsid w:val="005D0DF2"/>
    <w:rsid w:val="005D1BB1"/>
    <w:rsid w:val="005E1AB9"/>
    <w:rsid w:val="005E3C5F"/>
    <w:rsid w:val="005F4026"/>
    <w:rsid w:val="0060495C"/>
    <w:rsid w:val="006105C5"/>
    <w:rsid w:val="00611719"/>
    <w:rsid w:val="00612E1D"/>
    <w:rsid w:val="00613FEF"/>
    <w:rsid w:val="00616FA1"/>
    <w:rsid w:val="00624599"/>
    <w:rsid w:val="006306E0"/>
    <w:rsid w:val="00644795"/>
    <w:rsid w:val="00647C59"/>
    <w:rsid w:val="006511C0"/>
    <w:rsid w:val="006542AF"/>
    <w:rsid w:val="00654B2C"/>
    <w:rsid w:val="00656FFC"/>
    <w:rsid w:val="00662499"/>
    <w:rsid w:val="0067120D"/>
    <w:rsid w:val="00673EAF"/>
    <w:rsid w:val="00674F26"/>
    <w:rsid w:val="00676651"/>
    <w:rsid w:val="006848B7"/>
    <w:rsid w:val="00684906"/>
    <w:rsid w:val="006905DB"/>
    <w:rsid w:val="006A038D"/>
    <w:rsid w:val="006B6177"/>
    <w:rsid w:val="006B6465"/>
    <w:rsid w:val="006C2D7B"/>
    <w:rsid w:val="006C2F75"/>
    <w:rsid w:val="006D4AA4"/>
    <w:rsid w:val="006D5819"/>
    <w:rsid w:val="006D65CD"/>
    <w:rsid w:val="006E0AE9"/>
    <w:rsid w:val="006E2BC0"/>
    <w:rsid w:val="006E43AE"/>
    <w:rsid w:val="006F1455"/>
    <w:rsid w:val="006F65BA"/>
    <w:rsid w:val="00707867"/>
    <w:rsid w:val="00716F6F"/>
    <w:rsid w:val="00725AFD"/>
    <w:rsid w:val="007309AF"/>
    <w:rsid w:val="00745C50"/>
    <w:rsid w:val="00751483"/>
    <w:rsid w:val="007519D9"/>
    <w:rsid w:val="00753267"/>
    <w:rsid w:val="00756B7D"/>
    <w:rsid w:val="0075769A"/>
    <w:rsid w:val="00761052"/>
    <w:rsid w:val="0076324A"/>
    <w:rsid w:val="0076475E"/>
    <w:rsid w:val="00764BE7"/>
    <w:rsid w:val="007714CE"/>
    <w:rsid w:val="00771A51"/>
    <w:rsid w:val="00792B14"/>
    <w:rsid w:val="00792E4C"/>
    <w:rsid w:val="0079317F"/>
    <w:rsid w:val="00793188"/>
    <w:rsid w:val="007A241C"/>
    <w:rsid w:val="007B1D89"/>
    <w:rsid w:val="007B23C4"/>
    <w:rsid w:val="007B2532"/>
    <w:rsid w:val="007C35E1"/>
    <w:rsid w:val="007D08E3"/>
    <w:rsid w:val="007D654D"/>
    <w:rsid w:val="007E286F"/>
    <w:rsid w:val="007F01E3"/>
    <w:rsid w:val="0080476B"/>
    <w:rsid w:val="0080586D"/>
    <w:rsid w:val="00813FD5"/>
    <w:rsid w:val="00842F50"/>
    <w:rsid w:val="00843A8D"/>
    <w:rsid w:val="00874F3B"/>
    <w:rsid w:val="00892B0F"/>
    <w:rsid w:val="008963B6"/>
    <w:rsid w:val="008A5EDE"/>
    <w:rsid w:val="008C33D9"/>
    <w:rsid w:val="008C3983"/>
    <w:rsid w:val="008D493A"/>
    <w:rsid w:val="008D6169"/>
    <w:rsid w:val="008E03B2"/>
    <w:rsid w:val="008E47F4"/>
    <w:rsid w:val="008E4BD8"/>
    <w:rsid w:val="008E630C"/>
    <w:rsid w:val="008E76B2"/>
    <w:rsid w:val="009020B2"/>
    <w:rsid w:val="00905A08"/>
    <w:rsid w:val="009103DC"/>
    <w:rsid w:val="0093225B"/>
    <w:rsid w:val="009358D9"/>
    <w:rsid w:val="00950A84"/>
    <w:rsid w:val="0095157D"/>
    <w:rsid w:val="00955F8E"/>
    <w:rsid w:val="0095752D"/>
    <w:rsid w:val="00965053"/>
    <w:rsid w:val="0096639A"/>
    <w:rsid w:val="00974559"/>
    <w:rsid w:val="00974914"/>
    <w:rsid w:val="00981AE2"/>
    <w:rsid w:val="00983605"/>
    <w:rsid w:val="00985C93"/>
    <w:rsid w:val="00994EF1"/>
    <w:rsid w:val="00995052"/>
    <w:rsid w:val="009A4773"/>
    <w:rsid w:val="009A5E7B"/>
    <w:rsid w:val="009B503C"/>
    <w:rsid w:val="009B6D16"/>
    <w:rsid w:val="009C5859"/>
    <w:rsid w:val="009D1FE7"/>
    <w:rsid w:val="009D2D29"/>
    <w:rsid w:val="009D7347"/>
    <w:rsid w:val="009D7BE7"/>
    <w:rsid w:val="009E3D32"/>
    <w:rsid w:val="009E3E50"/>
    <w:rsid w:val="009E7696"/>
    <w:rsid w:val="009F44BC"/>
    <w:rsid w:val="009F6AAC"/>
    <w:rsid w:val="00A02C16"/>
    <w:rsid w:val="00A1120D"/>
    <w:rsid w:val="00A134D3"/>
    <w:rsid w:val="00A1387B"/>
    <w:rsid w:val="00A27190"/>
    <w:rsid w:val="00A31984"/>
    <w:rsid w:val="00A33622"/>
    <w:rsid w:val="00A33C30"/>
    <w:rsid w:val="00A42709"/>
    <w:rsid w:val="00A5191D"/>
    <w:rsid w:val="00A53AAF"/>
    <w:rsid w:val="00A6661A"/>
    <w:rsid w:val="00A773E0"/>
    <w:rsid w:val="00A77BF2"/>
    <w:rsid w:val="00A80977"/>
    <w:rsid w:val="00A812FD"/>
    <w:rsid w:val="00A8516C"/>
    <w:rsid w:val="00A9715C"/>
    <w:rsid w:val="00AA0321"/>
    <w:rsid w:val="00AB22AA"/>
    <w:rsid w:val="00AB601C"/>
    <w:rsid w:val="00AE24A2"/>
    <w:rsid w:val="00AE45B9"/>
    <w:rsid w:val="00AE7F4C"/>
    <w:rsid w:val="00AF0732"/>
    <w:rsid w:val="00AF6B14"/>
    <w:rsid w:val="00B00ADD"/>
    <w:rsid w:val="00B03AB3"/>
    <w:rsid w:val="00B06378"/>
    <w:rsid w:val="00B117D6"/>
    <w:rsid w:val="00B12131"/>
    <w:rsid w:val="00B121C1"/>
    <w:rsid w:val="00B13922"/>
    <w:rsid w:val="00B26AD8"/>
    <w:rsid w:val="00B325FF"/>
    <w:rsid w:val="00B36276"/>
    <w:rsid w:val="00B41323"/>
    <w:rsid w:val="00B454B3"/>
    <w:rsid w:val="00B53CED"/>
    <w:rsid w:val="00B56942"/>
    <w:rsid w:val="00B64462"/>
    <w:rsid w:val="00B64F3E"/>
    <w:rsid w:val="00B66225"/>
    <w:rsid w:val="00B663D2"/>
    <w:rsid w:val="00B82697"/>
    <w:rsid w:val="00B8497F"/>
    <w:rsid w:val="00B8587C"/>
    <w:rsid w:val="00B956F6"/>
    <w:rsid w:val="00BA02ED"/>
    <w:rsid w:val="00BB5451"/>
    <w:rsid w:val="00BC3006"/>
    <w:rsid w:val="00BC5770"/>
    <w:rsid w:val="00BE2FB0"/>
    <w:rsid w:val="00BE600C"/>
    <w:rsid w:val="00BF2E43"/>
    <w:rsid w:val="00BF3A6E"/>
    <w:rsid w:val="00C167D8"/>
    <w:rsid w:val="00C215FC"/>
    <w:rsid w:val="00C43B5D"/>
    <w:rsid w:val="00C53DD2"/>
    <w:rsid w:val="00C56648"/>
    <w:rsid w:val="00C56A01"/>
    <w:rsid w:val="00C61543"/>
    <w:rsid w:val="00C71697"/>
    <w:rsid w:val="00C74096"/>
    <w:rsid w:val="00C819FD"/>
    <w:rsid w:val="00C871D2"/>
    <w:rsid w:val="00C92059"/>
    <w:rsid w:val="00C932C1"/>
    <w:rsid w:val="00CA47DB"/>
    <w:rsid w:val="00CA5045"/>
    <w:rsid w:val="00CA5C43"/>
    <w:rsid w:val="00CB1426"/>
    <w:rsid w:val="00CB1746"/>
    <w:rsid w:val="00CB2279"/>
    <w:rsid w:val="00CB330E"/>
    <w:rsid w:val="00CC08AB"/>
    <w:rsid w:val="00CC1EE4"/>
    <w:rsid w:val="00CC544C"/>
    <w:rsid w:val="00CC695F"/>
    <w:rsid w:val="00CD568C"/>
    <w:rsid w:val="00CE25B1"/>
    <w:rsid w:val="00CE58B6"/>
    <w:rsid w:val="00CE68A6"/>
    <w:rsid w:val="00CF193C"/>
    <w:rsid w:val="00CF21CB"/>
    <w:rsid w:val="00CF4F3D"/>
    <w:rsid w:val="00D057F0"/>
    <w:rsid w:val="00D12021"/>
    <w:rsid w:val="00D13273"/>
    <w:rsid w:val="00D134EE"/>
    <w:rsid w:val="00D2299A"/>
    <w:rsid w:val="00D22B49"/>
    <w:rsid w:val="00D23D53"/>
    <w:rsid w:val="00D2430B"/>
    <w:rsid w:val="00D41761"/>
    <w:rsid w:val="00D41FE9"/>
    <w:rsid w:val="00D50470"/>
    <w:rsid w:val="00D508B1"/>
    <w:rsid w:val="00D53B82"/>
    <w:rsid w:val="00D56975"/>
    <w:rsid w:val="00D62936"/>
    <w:rsid w:val="00D6309B"/>
    <w:rsid w:val="00D66C3F"/>
    <w:rsid w:val="00D70835"/>
    <w:rsid w:val="00D73B59"/>
    <w:rsid w:val="00D74D2D"/>
    <w:rsid w:val="00D81B78"/>
    <w:rsid w:val="00D8282B"/>
    <w:rsid w:val="00D82895"/>
    <w:rsid w:val="00D85141"/>
    <w:rsid w:val="00D869E1"/>
    <w:rsid w:val="00D87D03"/>
    <w:rsid w:val="00D90198"/>
    <w:rsid w:val="00D93881"/>
    <w:rsid w:val="00DA3595"/>
    <w:rsid w:val="00DC743B"/>
    <w:rsid w:val="00DD2974"/>
    <w:rsid w:val="00DD37FB"/>
    <w:rsid w:val="00DD6448"/>
    <w:rsid w:val="00DD74EA"/>
    <w:rsid w:val="00DE3AFC"/>
    <w:rsid w:val="00DE3D28"/>
    <w:rsid w:val="00DE49A8"/>
    <w:rsid w:val="00DE4F83"/>
    <w:rsid w:val="00DF121E"/>
    <w:rsid w:val="00DF2BC3"/>
    <w:rsid w:val="00E008A0"/>
    <w:rsid w:val="00E0098D"/>
    <w:rsid w:val="00E0173E"/>
    <w:rsid w:val="00E13CEF"/>
    <w:rsid w:val="00E14568"/>
    <w:rsid w:val="00E17E56"/>
    <w:rsid w:val="00E2647D"/>
    <w:rsid w:val="00E302BF"/>
    <w:rsid w:val="00E37811"/>
    <w:rsid w:val="00E37EFF"/>
    <w:rsid w:val="00E478A6"/>
    <w:rsid w:val="00E51EB6"/>
    <w:rsid w:val="00E561B4"/>
    <w:rsid w:val="00E575FE"/>
    <w:rsid w:val="00E617E0"/>
    <w:rsid w:val="00E63338"/>
    <w:rsid w:val="00E70F8D"/>
    <w:rsid w:val="00E71C20"/>
    <w:rsid w:val="00E75E4C"/>
    <w:rsid w:val="00E809D1"/>
    <w:rsid w:val="00E83F53"/>
    <w:rsid w:val="00E919C7"/>
    <w:rsid w:val="00E94F68"/>
    <w:rsid w:val="00EA2B3F"/>
    <w:rsid w:val="00EA3F34"/>
    <w:rsid w:val="00EA440F"/>
    <w:rsid w:val="00EB2548"/>
    <w:rsid w:val="00EB26BD"/>
    <w:rsid w:val="00EC019B"/>
    <w:rsid w:val="00EC5843"/>
    <w:rsid w:val="00EC6F9A"/>
    <w:rsid w:val="00ED579A"/>
    <w:rsid w:val="00ED5BA6"/>
    <w:rsid w:val="00EE0BAA"/>
    <w:rsid w:val="00EE0EAC"/>
    <w:rsid w:val="00EE31CD"/>
    <w:rsid w:val="00EE7D9F"/>
    <w:rsid w:val="00EF040A"/>
    <w:rsid w:val="00EF65DF"/>
    <w:rsid w:val="00F01D47"/>
    <w:rsid w:val="00F14397"/>
    <w:rsid w:val="00F275C0"/>
    <w:rsid w:val="00F31511"/>
    <w:rsid w:val="00F43222"/>
    <w:rsid w:val="00F43C52"/>
    <w:rsid w:val="00F449AF"/>
    <w:rsid w:val="00F523AF"/>
    <w:rsid w:val="00F53C61"/>
    <w:rsid w:val="00F64875"/>
    <w:rsid w:val="00F70440"/>
    <w:rsid w:val="00F778F1"/>
    <w:rsid w:val="00F77F6F"/>
    <w:rsid w:val="00F838B6"/>
    <w:rsid w:val="00F8496B"/>
    <w:rsid w:val="00F9148F"/>
    <w:rsid w:val="00FA128A"/>
    <w:rsid w:val="00FA6C4B"/>
    <w:rsid w:val="00FB25B0"/>
    <w:rsid w:val="00FB3BC5"/>
    <w:rsid w:val="00FB6503"/>
    <w:rsid w:val="00FC4E30"/>
    <w:rsid w:val="00FC54AA"/>
    <w:rsid w:val="00FD32E4"/>
    <w:rsid w:val="00FD7413"/>
    <w:rsid w:val="00FE0E2B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69f"/>
    </o:shapedefaults>
    <o:shapelayout v:ext="edit">
      <o:idmap v:ext="edit" data="1"/>
    </o:shapelayout>
  </w:shapeDefaults>
  <w:decimalSymbol w:val="."/>
  <w:listSeparator w:val=","/>
  <w14:docId w14:val="519367E1"/>
  <w15:docId w15:val="{B54CCFE1-FEDB-417B-B160-C218731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5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6105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3267"/>
  </w:style>
  <w:style w:type="paragraph" w:styleId="Footer">
    <w:name w:val="footer"/>
    <w:basedOn w:val="Normal"/>
    <w:link w:val="FooterChar"/>
    <w:uiPriority w:val="99"/>
    <w:unhideWhenUsed/>
    <w:rsid w:val="007532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3267"/>
  </w:style>
  <w:style w:type="paragraph" w:styleId="BalloonText">
    <w:name w:val="Balloon Text"/>
    <w:basedOn w:val="Normal"/>
    <w:link w:val="BalloonTextChar"/>
    <w:uiPriority w:val="99"/>
    <w:semiHidden/>
    <w:unhideWhenUsed/>
    <w:rsid w:val="00753267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1052"/>
    <w:rPr>
      <w:rFonts w:ascii="Arial" w:eastAsia="Times New Roman" w:hAnsi="Arial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761052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61052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Hyperlink">
    <w:name w:val="Hyperlink"/>
    <w:basedOn w:val="DefaultParagraphFont"/>
    <w:rsid w:val="0076105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61052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spacing w:val="0"/>
      <w:sz w:val="22"/>
    </w:rPr>
  </w:style>
  <w:style w:type="character" w:customStyle="1" w:styleId="SubtitleChar">
    <w:name w:val="Subtitle Char"/>
    <w:basedOn w:val="DefaultParagraphFont"/>
    <w:link w:val="Subtitle"/>
    <w:rsid w:val="00761052"/>
    <w:rPr>
      <w:rFonts w:ascii="Times New Roman" w:eastAsia="Times New Roman" w:hAnsi="Times New Roman" w:cs="Times New Roman"/>
      <w:b/>
      <w:szCs w:val="20"/>
    </w:rPr>
  </w:style>
  <w:style w:type="paragraph" w:styleId="NoSpacing">
    <w:name w:val="No Spacing"/>
    <w:link w:val="NoSpacingChar"/>
    <w:uiPriority w:val="1"/>
    <w:qFormat/>
    <w:rsid w:val="00E561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61B4"/>
    <w:rPr>
      <w:rFonts w:eastAsiaTheme="minorEastAsia"/>
    </w:rPr>
  </w:style>
  <w:style w:type="paragraph" w:styleId="PlainText">
    <w:name w:val="Plain Text"/>
    <w:basedOn w:val="Normal"/>
    <w:link w:val="PlainTextChar"/>
    <w:rsid w:val="00F778F1"/>
    <w:rPr>
      <w:rFonts w:ascii="Courier New" w:hAnsi="Courier New"/>
      <w:spacing w:val="0"/>
      <w:sz w:val="20"/>
    </w:rPr>
  </w:style>
  <w:style w:type="character" w:customStyle="1" w:styleId="PlainTextChar">
    <w:name w:val="Plain Text Char"/>
    <w:basedOn w:val="DefaultParagraphFont"/>
    <w:link w:val="PlainText"/>
    <w:rsid w:val="00F778F1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A02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1F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1FE9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FE9"/>
    <w:rPr>
      <w:rFonts w:ascii="Arial" w:eastAsia="Times New Roman" w:hAnsi="Arial" w:cs="Times New Roman"/>
      <w:b/>
      <w:bCs/>
      <w:spacing w:val="-3"/>
      <w:sz w:val="20"/>
      <w:szCs w:val="20"/>
    </w:rPr>
  </w:style>
  <w:style w:type="paragraph" w:customStyle="1" w:styleId="Default">
    <w:name w:val="Default"/>
    <w:rsid w:val="00B53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aliases w:val="B2"/>
    <w:basedOn w:val="BodyText"/>
    <w:rsid w:val="00981AE2"/>
    <w:pPr>
      <w:numPr>
        <w:numId w:val="9"/>
      </w:numPr>
      <w:spacing w:before="120" w:after="60" w:line="250" w:lineRule="auto"/>
      <w:jc w:val="left"/>
    </w:pPr>
    <w:rPr>
      <w:rFonts w:ascii="Arial" w:hAnsi="Arial"/>
      <w:spacing w:val="0"/>
      <w:sz w:val="20"/>
      <w:szCs w:val="22"/>
    </w:rPr>
  </w:style>
  <w:style w:type="paragraph" w:styleId="Revision">
    <w:name w:val="Revision"/>
    <w:hidden/>
    <w:uiPriority w:val="99"/>
    <w:semiHidden/>
    <w:rsid w:val="00D90198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974914"/>
    <w:pPr>
      <w:ind w:left="720"/>
      <w:contextualSpacing/>
    </w:pPr>
  </w:style>
  <w:style w:type="paragraph" w:customStyle="1" w:styleId="Title-Table">
    <w:name w:val="Title-Table"/>
    <w:aliases w:val="TT"/>
    <w:basedOn w:val="BodyText"/>
    <w:next w:val="BodyText"/>
    <w:rsid w:val="007F01E3"/>
    <w:pPr>
      <w:keepNext/>
      <w:spacing w:after="200"/>
      <w:jc w:val="center"/>
    </w:pPr>
    <w:rPr>
      <w:rFonts w:ascii="Arial Bold" w:hAnsi="Arial Bold"/>
      <w:b/>
      <w:spacing w:val="0"/>
      <w:sz w:val="22"/>
      <w:szCs w:val="22"/>
    </w:rPr>
  </w:style>
  <w:style w:type="paragraph" w:customStyle="1" w:styleId="TableHead">
    <w:name w:val="Table Head"/>
    <w:basedOn w:val="Normal"/>
    <w:next w:val="Normal"/>
    <w:rsid w:val="007F01E3"/>
    <w:pPr>
      <w:spacing w:before="80" w:after="80"/>
      <w:jc w:val="center"/>
    </w:pPr>
    <w:rPr>
      <w:b/>
      <w:spacing w:val="0"/>
      <w:sz w:val="18"/>
    </w:rPr>
  </w:style>
  <w:style w:type="paragraph" w:customStyle="1" w:styleId="tabletext">
    <w:name w:val="table text"/>
    <w:aliases w:val="t2"/>
    <w:basedOn w:val="Normal"/>
    <w:rsid w:val="007F01E3"/>
    <w:pPr>
      <w:spacing w:before="40" w:after="40" w:line="220" w:lineRule="exact"/>
    </w:pPr>
    <w:rPr>
      <w:spacing w:val="0"/>
      <w:sz w:val="20"/>
    </w:rPr>
  </w:style>
  <w:style w:type="table" w:styleId="TableGrid">
    <w:name w:val="Table Grid"/>
    <w:basedOn w:val="TableNormal"/>
    <w:uiPriority w:val="39"/>
    <w:rsid w:val="00B362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BodyText"/>
    <w:rsid w:val="00CF193C"/>
    <w:pPr>
      <w:numPr>
        <w:numId w:val="34"/>
      </w:numPr>
      <w:spacing w:after="200"/>
      <w:jc w:val="left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94D71F4E57B46AEA25DF919E0900A" ma:contentTypeVersion="5" ma:contentTypeDescription="Create a new document." ma:contentTypeScope="" ma:versionID="c13e53974f4be3ef1bc516b15a3dd61a">
  <xsd:schema xmlns:xsd="http://www.w3.org/2001/XMLSchema" xmlns:xs="http://www.w3.org/2001/XMLSchema" xmlns:p="http://schemas.microsoft.com/office/2006/metadata/properties" xmlns:ns2="9a9ac71d-4a06-43d9-b2b1-f3993a76592f" targetNamespace="http://schemas.microsoft.com/office/2006/metadata/properties" ma:root="true" ma:fieldsID="0c4f28326379019395d309e5a5f20767" ns2:_="">
    <xsd:import namespace="9a9ac71d-4a06-43d9-b2b1-f3993a76592f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ac71d-4a06-43d9-b2b1-f3993a76592f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f8589042-d1d4-4f84-810a-39e5af69e50d}" ma:internalName="TaxCatchAll" ma:showField="CatchAllData" ma:web="9a9ac71d-4a06-43d9-b2b1-f3993a765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ac71d-4a06-43d9-b2b1-f3993a76592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10B74-A6F7-4FB3-BE7E-F0A6E180BA3A}"/>
</file>

<file path=customXml/itemProps2.xml><?xml version="1.0" encoding="utf-8"?>
<ds:datastoreItem xmlns:ds="http://schemas.openxmlformats.org/officeDocument/2006/customXml" ds:itemID="{6775BDB8-C75B-41C2-BBA4-21AFEC06C217}">
  <ds:schemaRefs>
    <ds:schemaRef ds:uri="http://schemas.microsoft.com/office/infopath/2007/PartnerControls"/>
    <ds:schemaRef ds:uri="http://purl.org/dc/elements/1.1/"/>
    <ds:schemaRef ds:uri="24b8224c-5c6c-422f-9870-d7d19452eb64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DFD2CCF-7BB8-4F1D-B0AC-D0DF81EC6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Hankel</dc:creator>
  <cp:lastModifiedBy>Shannon Peterson</cp:lastModifiedBy>
  <cp:revision>9</cp:revision>
  <cp:lastPrinted>2015-04-23T18:00:00Z</cp:lastPrinted>
  <dcterms:created xsi:type="dcterms:W3CDTF">2022-02-16T00:40:00Z</dcterms:created>
  <dcterms:modified xsi:type="dcterms:W3CDTF">2022-06-28T17:33:00Z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0x0101003A794D71F4E57B46AEA25DF919E0900A</vt:lpwstr>
  </property>
</Properties>
</file>