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AFDF" w14:textId="75B8D7AB"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61081C">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61081C" w:rsidRPr="0061081C">
        <w:rPr>
          <w:rFonts w:ascii="Times New Roman" w:hAnsi="Times New Roman"/>
          <w:spacing w:val="-2"/>
        </w:rPr>
        <w:t>Thurston County</w:t>
      </w:r>
      <w:r w:rsidRPr="00FC54AA">
        <w:rPr>
          <w:rFonts w:ascii="Times New Roman" w:hAnsi="Times New Roman"/>
          <w:spacing w:val="-2"/>
        </w:rPr>
        <w:t xml:space="preserve">. All items may not be applicable in the review of each project and all items of concern to this office may not be covered on this checklist.  </w:t>
      </w:r>
    </w:p>
    <w:p w14:paraId="23D13020" w14:textId="77777777" w:rsidR="00FC54AA" w:rsidRPr="0040273E" w:rsidRDefault="00FC54AA" w:rsidP="0040273E">
      <w:pPr>
        <w:rPr>
          <w:b/>
        </w:rPr>
      </w:pP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20"/>
        <w:gridCol w:w="7249"/>
      </w:tblGrid>
      <w:tr w:rsidR="001C1926" w:rsidRPr="0040273E" w14:paraId="7A4FC568" w14:textId="77777777" w:rsidTr="001C1926">
        <w:trPr>
          <w:tblHeader/>
        </w:trPr>
        <w:tc>
          <w:tcPr>
            <w:tcW w:w="720" w:type="dxa"/>
            <w:shd w:val="clear" w:color="auto" w:fill="auto"/>
            <w:vAlign w:val="center"/>
          </w:tcPr>
          <w:p w14:paraId="19C219B9" w14:textId="1229DC67" w:rsidR="001C1926" w:rsidRPr="0040273E" w:rsidRDefault="001C1926" w:rsidP="00AA2FC3">
            <w:pPr>
              <w:jc w:val="center"/>
              <w:rPr>
                <w:rFonts w:ascii="Times New Roman" w:hAnsi="Times New Roman"/>
                <w:b/>
              </w:rPr>
            </w:pPr>
            <w:r>
              <w:rPr>
                <w:rFonts w:ascii="Times New Roman" w:hAnsi="Times New Roman"/>
                <w:b/>
              </w:rPr>
              <w:t>Y</w:t>
            </w:r>
          </w:p>
        </w:tc>
        <w:tc>
          <w:tcPr>
            <w:tcW w:w="720" w:type="dxa"/>
            <w:shd w:val="clear" w:color="auto" w:fill="auto"/>
            <w:vAlign w:val="center"/>
          </w:tcPr>
          <w:p w14:paraId="37AD58A4" w14:textId="7F12658C" w:rsidR="001C1926" w:rsidRPr="001D06CC" w:rsidRDefault="001C1926" w:rsidP="00AA2FC3">
            <w:pPr>
              <w:jc w:val="center"/>
              <w:rPr>
                <w:rFonts w:ascii="Times New Roman" w:hAnsi="Times New Roman"/>
                <w:b/>
              </w:rPr>
            </w:pPr>
            <w:r>
              <w:rPr>
                <w:rFonts w:ascii="Times New Roman" w:hAnsi="Times New Roman"/>
                <w:b/>
              </w:rPr>
              <w:t>N</w:t>
            </w:r>
          </w:p>
        </w:tc>
        <w:tc>
          <w:tcPr>
            <w:tcW w:w="7249" w:type="dxa"/>
            <w:shd w:val="clear" w:color="auto" w:fill="auto"/>
          </w:tcPr>
          <w:p w14:paraId="28AFC61B" w14:textId="77777777" w:rsidR="001C1926" w:rsidRDefault="001C1926" w:rsidP="00AA2FC3">
            <w:pPr>
              <w:jc w:val="center"/>
              <w:rPr>
                <w:rFonts w:ascii="Times New Roman" w:hAnsi="Times New Roman"/>
                <w:b/>
              </w:rPr>
            </w:pPr>
          </w:p>
        </w:tc>
      </w:tr>
      <w:tr w:rsidR="001C1926" w:rsidRPr="0040273E" w14:paraId="7C86999A" w14:textId="77777777" w:rsidTr="001C1926">
        <w:tc>
          <w:tcPr>
            <w:tcW w:w="720" w:type="dxa"/>
            <w:shd w:val="clear" w:color="auto" w:fill="B8CCE4" w:themeFill="accent1" w:themeFillTint="66"/>
            <w:vAlign w:val="center"/>
          </w:tcPr>
          <w:p w14:paraId="130BE207" w14:textId="77777777" w:rsidR="001C1926" w:rsidRPr="0040273E" w:rsidRDefault="001C1926" w:rsidP="007A0AB2">
            <w:pPr>
              <w:jc w:val="center"/>
              <w:rPr>
                <w:rFonts w:ascii="Times New Roman" w:hAnsi="Times New Roman"/>
                <w:b/>
              </w:rPr>
            </w:pPr>
          </w:p>
        </w:tc>
        <w:tc>
          <w:tcPr>
            <w:tcW w:w="720" w:type="dxa"/>
            <w:shd w:val="clear" w:color="auto" w:fill="B8CCE4" w:themeFill="accent1" w:themeFillTint="66"/>
          </w:tcPr>
          <w:p w14:paraId="49EAED33" w14:textId="77777777" w:rsidR="001C1926" w:rsidRPr="001D06CC" w:rsidRDefault="001C1926" w:rsidP="007A0AB2">
            <w:pPr>
              <w:jc w:val="center"/>
              <w:rPr>
                <w:rFonts w:ascii="Times New Roman" w:hAnsi="Times New Roman"/>
                <w:b/>
              </w:rPr>
            </w:pPr>
          </w:p>
        </w:tc>
        <w:tc>
          <w:tcPr>
            <w:tcW w:w="7249" w:type="dxa"/>
            <w:shd w:val="clear" w:color="auto" w:fill="B8CCE4" w:themeFill="accent1" w:themeFillTint="66"/>
          </w:tcPr>
          <w:p w14:paraId="549AA261" w14:textId="77777777" w:rsidR="001C1926" w:rsidRDefault="001C1926" w:rsidP="007A0AB2">
            <w:pPr>
              <w:tabs>
                <w:tab w:val="left" w:pos="1589"/>
                <w:tab w:val="center" w:pos="3132"/>
              </w:tabs>
              <w:rPr>
                <w:rFonts w:ascii="Times New Roman" w:hAnsi="Times New Roman"/>
                <w:b/>
              </w:rPr>
            </w:pPr>
            <w:r>
              <w:rPr>
                <w:rFonts w:ascii="Times New Roman" w:hAnsi="Times New Roman"/>
                <w:b/>
              </w:rPr>
              <w:tab/>
            </w:r>
            <w:r>
              <w:rPr>
                <w:rFonts w:ascii="Times New Roman" w:hAnsi="Times New Roman"/>
                <w:b/>
              </w:rPr>
              <w:tab/>
              <w:t xml:space="preserve">MODELING AND SIZING </w:t>
            </w:r>
          </w:p>
          <w:p w14:paraId="4B544FCF" w14:textId="37D706EB" w:rsidR="001C1926" w:rsidRDefault="001C1926" w:rsidP="007A0AB2">
            <w:pPr>
              <w:jc w:val="center"/>
              <w:rPr>
                <w:rFonts w:ascii="Times New Roman" w:hAnsi="Times New Roman"/>
                <w:b/>
              </w:rPr>
            </w:pPr>
          </w:p>
        </w:tc>
      </w:tr>
      <w:tr w:rsidR="001C1926" w:rsidRPr="000E407F" w14:paraId="59A13604" w14:textId="77777777" w:rsidTr="001C1926">
        <w:trPr>
          <w:tblHeader/>
        </w:trPr>
        <w:tc>
          <w:tcPr>
            <w:tcW w:w="720" w:type="dxa"/>
            <w:shd w:val="clear" w:color="auto" w:fill="auto"/>
            <w:vAlign w:val="center"/>
          </w:tcPr>
          <w:p w14:paraId="1E8C5FC2" w14:textId="77777777" w:rsidR="001C1926" w:rsidRPr="000E407F" w:rsidRDefault="001C1926" w:rsidP="007A0AB2">
            <w:pPr>
              <w:rPr>
                <w:rFonts w:ascii="Times New Roman" w:hAnsi="Times New Roman"/>
              </w:rPr>
            </w:pPr>
          </w:p>
        </w:tc>
        <w:tc>
          <w:tcPr>
            <w:tcW w:w="720" w:type="dxa"/>
            <w:shd w:val="clear" w:color="auto" w:fill="auto"/>
            <w:vAlign w:val="center"/>
          </w:tcPr>
          <w:p w14:paraId="0A426A26" w14:textId="77777777" w:rsidR="001C1926" w:rsidRPr="000E407F" w:rsidRDefault="001C1926" w:rsidP="007A0AB2">
            <w:pPr>
              <w:rPr>
                <w:rFonts w:ascii="Times New Roman" w:hAnsi="Times New Roman"/>
              </w:rPr>
            </w:pPr>
          </w:p>
        </w:tc>
        <w:tc>
          <w:tcPr>
            <w:tcW w:w="7249" w:type="dxa"/>
            <w:shd w:val="clear" w:color="auto" w:fill="auto"/>
          </w:tcPr>
          <w:p w14:paraId="30EEF106" w14:textId="7E1142F2" w:rsidR="001C1926" w:rsidRPr="00E644F3" w:rsidRDefault="001C1926" w:rsidP="001C1926">
            <w:pPr>
              <w:rPr>
                <w:rFonts w:ascii="Times New Roman" w:hAnsi="Times New Roman"/>
              </w:rPr>
            </w:pPr>
            <w:r w:rsidRPr="00E644F3">
              <w:rPr>
                <w:rFonts w:ascii="Times New Roman" w:hAnsi="Times New Roman"/>
              </w:rPr>
              <w:t>Where sheet flow dispersion is used to disperse runoff into an undisturbed native landscape area or an area that meets the requirements of LID.02</w:t>
            </w:r>
            <w:r w:rsidR="004D0D2E" w:rsidRPr="00E644F3">
              <w:rPr>
                <w:rFonts w:ascii="Times New Roman" w:hAnsi="Times New Roman"/>
              </w:rPr>
              <w:t>:</w:t>
            </w:r>
            <w:r w:rsidRPr="00E644F3">
              <w:rPr>
                <w:rFonts w:ascii="Times New Roman" w:hAnsi="Times New Roman"/>
              </w:rPr>
              <w:t xml:space="preserve"> Post-Construction Soil Quality and Depth design criteria, the impervious </w:t>
            </w:r>
            <w:r w:rsidR="00236D89" w:rsidRPr="00E644F3">
              <w:rPr>
                <w:rFonts w:ascii="Times New Roman" w:hAnsi="Times New Roman"/>
              </w:rPr>
              <w:t>should</w:t>
            </w:r>
            <w:r w:rsidRPr="00E644F3">
              <w:rPr>
                <w:rFonts w:ascii="Times New Roman" w:hAnsi="Times New Roman"/>
              </w:rPr>
              <w:t xml:space="preserve"> be modeled as </w:t>
            </w:r>
            <w:r w:rsidR="00236D89" w:rsidRPr="00E644F3">
              <w:rPr>
                <w:rFonts w:ascii="Times New Roman" w:hAnsi="Times New Roman"/>
              </w:rPr>
              <w:t xml:space="preserve">a lateral </w:t>
            </w:r>
            <w:r w:rsidR="00E644F3" w:rsidRPr="00E644F3">
              <w:rPr>
                <w:rFonts w:ascii="Times New Roman" w:hAnsi="Times New Roman"/>
              </w:rPr>
              <w:t>flow impervious area.</w:t>
            </w:r>
          </w:p>
        </w:tc>
      </w:tr>
      <w:tr w:rsidR="001C1926" w:rsidRPr="0040273E" w14:paraId="53D566A2" w14:textId="77777777" w:rsidTr="001C1926">
        <w:tc>
          <w:tcPr>
            <w:tcW w:w="720" w:type="dxa"/>
            <w:shd w:val="clear" w:color="auto" w:fill="B8CCE4" w:themeFill="accent1" w:themeFillTint="66"/>
            <w:vAlign w:val="center"/>
          </w:tcPr>
          <w:p w14:paraId="02663D8A" w14:textId="77777777" w:rsidR="001C1926" w:rsidRPr="0040273E" w:rsidRDefault="001C1926" w:rsidP="00AA2FC3">
            <w:pPr>
              <w:jc w:val="center"/>
              <w:rPr>
                <w:rFonts w:ascii="Times New Roman" w:hAnsi="Times New Roman"/>
                <w:b/>
              </w:rPr>
            </w:pPr>
          </w:p>
        </w:tc>
        <w:tc>
          <w:tcPr>
            <w:tcW w:w="720" w:type="dxa"/>
            <w:shd w:val="clear" w:color="auto" w:fill="B8CCE4" w:themeFill="accent1" w:themeFillTint="66"/>
          </w:tcPr>
          <w:p w14:paraId="5CF302B1" w14:textId="77777777" w:rsidR="001C1926" w:rsidRPr="001D06CC" w:rsidRDefault="001C1926" w:rsidP="00AA2FC3">
            <w:pPr>
              <w:jc w:val="center"/>
              <w:rPr>
                <w:rFonts w:ascii="Times New Roman" w:hAnsi="Times New Roman"/>
                <w:b/>
              </w:rPr>
            </w:pPr>
          </w:p>
        </w:tc>
        <w:tc>
          <w:tcPr>
            <w:tcW w:w="7249" w:type="dxa"/>
            <w:shd w:val="clear" w:color="auto" w:fill="B8CCE4" w:themeFill="accent1" w:themeFillTint="66"/>
          </w:tcPr>
          <w:p w14:paraId="0D588823" w14:textId="0E273557" w:rsidR="001C1926" w:rsidRDefault="001C1926" w:rsidP="00AA2FC3">
            <w:pPr>
              <w:tabs>
                <w:tab w:val="left" w:pos="1589"/>
                <w:tab w:val="center" w:pos="3132"/>
              </w:tabs>
              <w:rPr>
                <w:rFonts w:ascii="Times New Roman" w:hAnsi="Times New Roman"/>
                <w:b/>
              </w:rPr>
            </w:pPr>
            <w:r>
              <w:rPr>
                <w:rFonts w:ascii="Times New Roman" w:hAnsi="Times New Roman"/>
                <w:b/>
              </w:rPr>
              <w:tab/>
            </w:r>
            <w:r>
              <w:rPr>
                <w:rFonts w:ascii="Times New Roman" w:hAnsi="Times New Roman"/>
                <w:b/>
              </w:rPr>
              <w:tab/>
              <w:t xml:space="preserve">DESIGN CRITERIA </w:t>
            </w:r>
          </w:p>
          <w:p w14:paraId="4D691848" w14:textId="4C0BD0C3" w:rsidR="001C1926" w:rsidRDefault="001C1926" w:rsidP="00AA2FC3">
            <w:pPr>
              <w:jc w:val="center"/>
              <w:rPr>
                <w:rFonts w:ascii="Times New Roman" w:hAnsi="Times New Roman"/>
                <w:b/>
              </w:rPr>
            </w:pPr>
          </w:p>
        </w:tc>
      </w:tr>
      <w:tr w:rsidR="001C1926" w:rsidRPr="0040273E" w14:paraId="30C4976C" w14:textId="77777777" w:rsidTr="001C1926">
        <w:tc>
          <w:tcPr>
            <w:tcW w:w="720" w:type="dxa"/>
            <w:shd w:val="clear" w:color="auto" w:fill="auto"/>
            <w:vAlign w:val="center"/>
          </w:tcPr>
          <w:p w14:paraId="59AB3277" w14:textId="77777777" w:rsidR="001C1926" w:rsidRPr="0040273E" w:rsidRDefault="001C1926" w:rsidP="00AA2FC3">
            <w:pPr>
              <w:rPr>
                <w:rFonts w:ascii="Times New Roman" w:hAnsi="Times New Roman"/>
                <w:b/>
              </w:rPr>
            </w:pPr>
          </w:p>
        </w:tc>
        <w:tc>
          <w:tcPr>
            <w:tcW w:w="720" w:type="dxa"/>
            <w:shd w:val="clear" w:color="auto" w:fill="auto"/>
          </w:tcPr>
          <w:p w14:paraId="17BBE5CF" w14:textId="77777777" w:rsidR="001C1926" w:rsidRPr="001D06CC" w:rsidRDefault="001C1926" w:rsidP="00AA2FC3">
            <w:pPr>
              <w:rPr>
                <w:rFonts w:ascii="Times New Roman" w:hAnsi="Times New Roman"/>
                <w:b/>
              </w:rPr>
            </w:pPr>
          </w:p>
        </w:tc>
        <w:tc>
          <w:tcPr>
            <w:tcW w:w="7249" w:type="dxa"/>
            <w:shd w:val="clear" w:color="auto" w:fill="auto"/>
          </w:tcPr>
          <w:p w14:paraId="1E6C033A" w14:textId="0B181ABE" w:rsidR="001C1926" w:rsidRDefault="001C1926" w:rsidP="00AA2FC3">
            <w:pPr>
              <w:rPr>
                <w:rFonts w:ascii="Times New Roman" w:hAnsi="Times New Roman"/>
                <w:b/>
              </w:rPr>
            </w:pPr>
            <w:r w:rsidRPr="00162530">
              <w:rPr>
                <w:rFonts w:ascii="Times New Roman" w:hAnsi="Times New Roman"/>
              </w:rPr>
              <w:t xml:space="preserve">The dispersion of runoff does not create flooding or erosion </w:t>
            </w:r>
            <w:r w:rsidR="004D0D2E">
              <w:rPr>
                <w:rFonts w:ascii="Times New Roman" w:hAnsi="Times New Roman"/>
              </w:rPr>
              <w:t>of downstream properties</w:t>
            </w:r>
            <w:r w:rsidRPr="00162530">
              <w:rPr>
                <w:rFonts w:ascii="Times New Roman" w:hAnsi="Times New Roman"/>
              </w:rPr>
              <w:t>.</w:t>
            </w:r>
          </w:p>
        </w:tc>
      </w:tr>
      <w:tr w:rsidR="001C1926" w:rsidRPr="0040273E" w14:paraId="160794B3" w14:textId="77777777" w:rsidTr="001C192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416053" w14:textId="77777777" w:rsidR="001C1926" w:rsidRPr="0040273E" w:rsidRDefault="001C1926" w:rsidP="00A156D8">
            <w:pP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19105E" w14:textId="77777777" w:rsidR="001C1926" w:rsidRPr="00A156D8" w:rsidRDefault="001C1926" w:rsidP="00A156D8">
            <w:pPr>
              <w:rPr>
                <w:rFonts w:ascii="Times New Roman" w:hAnsi="Times New Roman"/>
                <w:b/>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7C95B32C" w14:textId="77777777" w:rsidR="001C1926" w:rsidRPr="00E644F3" w:rsidRDefault="001C1926" w:rsidP="0071175A">
            <w:pPr>
              <w:rPr>
                <w:rFonts w:ascii="Times New Roman" w:hAnsi="Times New Roman"/>
              </w:rPr>
            </w:pPr>
            <w:r w:rsidRPr="00E644F3">
              <w:rPr>
                <w:rFonts w:ascii="Times New Roman" w:hAnsi="Times New Roman"/>
              </w:rPr>
              <w:t xml:space="preserve">Positive drainage for sheet flow runoff is achieved. </w:t>
            </w:r>
          </w:p>
        </w:tc>
      </w:tr>
      <w:tr w:rsidR="001C1926" w:rsidRPr="0040273E" w14:paraId="1323E51C" w14:textId="77777777" w:rsidTr="001C1926">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871FAAC" w14:textId="77777777" w:rsidR="001C1926" w:rsidRPr="0040273E" w:rsidRDefault="001C1926" w:rsidP="00A156D8">
            <w:pP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7AA5421" w14:textId="77777777" w:rsidR="001C1926" w:rsidRPr="001D06CC" w:rsidRDefault="001C1926" w:rsidP="00A156D8">
            <w:pPr>
              <w:rPr>
                <w:rFonts w:ascii="Times New Roman" w:hAnsi="Times New Roman"/>
                <w:b/>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7C6A3FF0" w14:textId="72641488" w:rsidR="001C1926" w:rsidRPr="00E644F3" w:rsidRDefault="0095547C" w:rsidP="0071175A">
            <w:pPr>
              <w:rPr>
                <w:rFonts w:ascii="Times New Roman" w:hAnsi="Times New Roman"/>
              </w:rPr>
            </w:pPr>
            <w:r w:rsidRPr="00E644F3">
              <w:rPr>
                <w:rFonts w:ascii="Times New Roman" w:hAnsi="Times New Roman"/>
              </w:rPr>
              <w:t>Flow path</w:t>
            </w:r>
            <w:r w:rsidR="001C1926" w:rsidRPr="00E644F3">
              <w:rPr>
                <w:rFonts w:ascii="Times New Roman" w:hAnsi="Times New Roman"/>
              </w:rPr>
              <w:t xml:space="preserve"> is undisturbed native landscape, or well-established lawn, landscape, groundcover over soil. </w:t>
            </w:r>
          </w:p>
        </w:tc>
      </w:tr>
      <w:tr w:rsidR="001C1926" w:rsidRPr="0040273E" w14:paraId="638EFB9B" w14:textId="77777777" w:rsidTr="001C1926">
        <w:tc>
          <w:tcPr>
            <w:tcW w:w="720" w:type="dxa"/>
            <w:vAlign w:val="center"/>
          </w:tcPr>
          <w:p w14:paraId="6B93CBF5" w14:textId="77777777" w:rsidR="001C1926" w:rsidRPr="0040273E" w:rsidRDefault="001C1926" w:rsidP="00AA2FC3">
            <w:pPr>
              <w:jc w:val="center"/>
              <w:rPr>
                <w:rFonts w:ascii="Times New Roman" w:hAnsi="Times New Roman"/>
                <w:b/>
              </w:rPr>
            </w:pPr>
          </w:p>
        </w:tc>
        <w:tc>
          <w:tcPr>
            <w:tcW w:w="720" w:type="dxa"/>
          </w:tcPr>
          <w:p w14:paraId="650684AE" w14:textId="77777777" w:rsidR="001C1926" w:rsidRPr="001D06CC" w:rsidRDefault="001C1926" w:rsidP="00AA2FC3">
            <w:pPr>
              <w:jc w:val="center"/>
              <w:rPr>
                <w:rFonts w:ascii="Times New Roman" w:hAnsi="Times New Roman"/>
                <w:b/>
              </w:rPr>
            </w:pPr>
          </w:p>
        </w:tc>
        <w:tc>
          <w:tcPr>
            <w:tcW w:w="7249" w:type="dxa"/>
          </w:tcPr>
          <w:p w14:paraId="66659EEE" w14:textId="20B0193C" w:rsidR="001C1926" w:rsidRPr="00E644F3" w:rsidRDefault="001C1926" w:rsidP="00AA2FC3">
            <w:pPr>
              <w:rPr>
                <w:rFonts w:ascii="Times New Roman" w:hAnsi="Times New Roman"/>
                <w:b/>
              </w:rPr>
            </w:pPr>
            <w:r w:rsidRPr="00E644F3">
              <w:rPr>
                <w:rFonts w:ascii="Times New Roman" w:hAnsi="Times New Roman"/>
              </w:rPr>
              <w:t xml:space="preserve">Natural resource protection areas and critical area buffers counted towards </w:t>
            </w:r>
            <w:r w:rsidR="0095547C" w:rsidRPr="00E644F3">
              <w:rPr>
                <w:rFonts w:ascii="Times New Roman" w:hAnsi="Times New Roman"/>
              </w:rPr>
              <w:t>flow path</w:t>
            </w:r>
            <w:r w:rsidRPr="00E644F3">
              <w:rPr>
                <w:rFonts w:ascii="Times New Roman" w:hAnsi="Times New Roman"/>
              </w:rPr>
              <w:t xml:space="preserve"> lengths are permanently protected from modification through a covenant or easement, or a tract dedicated by the proposed project.</w:t>
            </w:r>
          </w:p>
        </w:tc>
      </w:tr>
      <w:tr w:rsidR="001C1926" w:rsidRPr="0040273E" w14:paraId="17A715DC" w14:textId="77777777" w:rsidTr="001C1926">
        <w:tc>
          <w:tcPr>
            <w:tcW w:w="720" w:type="dxa"/>
            <w:tcBorders>
              <w:top w:val="single" w:sz="4" w:space="0" w:color="auto"/>
              <w:left w:val="single" w:sz="4" w:space="0" w:color="auto"/>
              <w:bottom w:val="single" w:sz="4" w:space="0" w:color="auto"/>
              <w:right w:val="single" w:sz="4" w:space="0" w:color="auto"/>
            </w:tcBorders>
            <w:vAlign w:val="center"/>
          </w:tcPr>
          <w:p w14:paraId="09757E79" w14:textId="77777777" w:rsidR="001C1926" w:rsidRPr="0040273E" w:rsidRDefault="001C1926" w:rsidP="0071175A">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7B818DF1" w14:textId="77777777" w:rsidR="001C1926" w:rsidRPr="001D06CC" w:rsidRDefault="001C1926" w:rsidP="0071175A">
            <w:pPr>
              <w:jc w:val="center"/>
              <w:rPr>
                <w:rFonts w:ascii="Times New Roman" w:hAnsi="Times New Roman"/>
                <w:b/>
              </w:rPr>
            </w:pPr>
          </w:p>
        </w:tc>
        <w:tc>
          <w:tcPr>
            <w:tcW w:w="7249" w:type="dxa"/>
            <w:tcBorders>
              <w:top w:val="single" w:sz="4" w:space="0" w:color="auto"/>
              <w:left w:val="single" w:sz="4" w:space="0" w:color="auto"/>
              <w:bottom w:val="single" w:sz="4" w:space="0" w:color="auto"/>
              <w:right w:val="single" w:sz="4" w:space="0" w:color="auto"/>
            </w:tcBorders>
          </w:tcPr>
          <w:p w14:paraId="342F5A47" w14:textId="1C629F30" w:rsidR="001C1926" w:rsidRPr="004D0D2E" w:rsidRDefault="00334ECC" w:rsidP="001C1926">
            <w:pPr>
              <w:rPr>
                <w:rFonts w:ascii="Times New Roman" w:hAnsi="Times New Roman"/>
                <w:highlight w:val="yellow"/>
              </w:rPr>
            </w:pPr>
            <w:r w:rsidRPr="005C28F0">
              <w:rPr>
                <w:rFonts w:ascii="Times New Roman" w:hAnsi="Times New Roman"/>
              </w:rPr>
              <w:t xml:space="preserve">Discharge towards landslide hazard areas or discharge point on or above slopes greater than </w:t>
            </w:r>
            <w:r w:rsidR="004854AF">
              <w:rPr>
                <w:rFonts w:ascii="Times New Roman" w:hAnsi="Times New Roman"/>
              </w:rPr>
              <w:t>20</w:t>
            </w:r>
            <w:r w:rsidRPr="005C28F0">
              <w:rPr>
                <w:rFonts w:ascii="Times New Roman" w:hAnsi="Times New Roman"/>
              </w:rPr>
              <w:t>% or above erosion hazard areas evaluated by a licensed engineer with geotechnical expertise or a licensed geologist, hydrogeologist, or engineering geologist, and with acceptance from the DDECM Administrator.</w:t>
            </w:r>
          </w:p>
        </w:tc>
      </w:tr>
      <w:tr w:rsidR="001C1926" w:rsidRPr="0040273E" w14:paraId="1882408A" w14:textId="77777777" w:rsidTr="001C1926">
        <w:tc>
          <w:tcPr>
            <w:tcW w:w="720" w:type="dxa"/>
            <w:vAlign w:val="center"/>
          </w:tcPr>
          <w:p w14:paraId="7694C78F" w14:textId="77777777" w:rsidR="001C1926" w:rsidRPr="0040273E" w:rsidRDefault="001C1926" w:rsidP="00AA2FC3">
            <w:pPr>
              <w:jc w:val="center"/>
              <w:rPr>
                <w:rFonts w:ascii="Times New Roman" w:hAnsi="Times New Roman"/>
                <w:b/>
              </w:rPr>
            </w:pPr>
          </w:p>
        </w:tc>
        <w:tc>
          <w:tcPr>
            <w:tcW w:w="720" w:type="dxa"/>
          </w:tcPr>
          <w:p w14:paraId="5EE0EB26" w14:textId="77777777" w:rsidR="001C1926" w:rsidRPr="001D06CC" w:rsidRDefault="001C1926" w:rsidP="00AA2FC3">
            <w:pPr>
              <w:jc w:val="center"/>
              <w:rPr>
                <w:rFonts w:ascii="Times New Roman" w:hAnsi="Times New Roman"/>
                <w:b/>
              </w:rPr>
            </w:pPr>
          </w:p>
        </w:tc>
        <w:tc>
          <w:tcPr>
            <w:tcW w:w="7249" w:type="dxa"/>
          </w:tcPr>
          <w:p w14:paraId="7E1F796D" w14:textId="733167CE" w:rsidR="001C1926" w:rsidRPr="004D0D2E" w:rsidRDefault="001C1926" w:rsidP="00F12A1B">
            <w:pPr>
              <w:rPr>
                <w:rFonts w:ascii="Times New Roman" w:hAnsi="Times New Roman"/>
                <w:highlight w:val="yellow"/>
              </w:rPr>
            </w:pPr>
            <w:r w:rsidRPr="00334ECC">
              <w:rPr>
                <w:rFonts w:ascii="Times New Roman" w:hAnsi="Times New Roman"/>
              </w:rPr>
              <w:t xml:space="preserve">Dispersion facility is setback a minimum of 50 feet from top of slopes steeper than 20% and greater than 10 feet high and a vegetated </w:t>
            </w:r>
            <w:r w:rsidR="0095547C" w:rsidRPr="00334ECC">
              <w:rPr>
                <w:rFonts w:ascii="Times New Roman" w:hAnsi="Times New Roman"/>
              </w:rPr>
              <w:t>flow path</w:t>
            </w:r>
            <w:r w:rsidRPr="00334ECC">
              <w:rPr>
                <w:rFonts w:ascii="Times New Roman" w:hAnsi="Times New Roman"/>
              </w:rPr>
              <w:t xml:space="preserve"> is maintained between the outlet of the facility and the slope.</w:t>
            </w:r>
            <w:r w:rsidRPr="00334ECC">
              <w:rPr>
                <w:rFonts w:ascii="Times New Roman" w:hAnsi="Times New Roman"/>
                <w:vertAlign w:val="superscript"/>
              </w:rPr>
              <w:t xml:space="preserve"> </w:t>
            </w:r>
          </w:p>
        </w:tc>
      </w:tr>
      <w:tr w:rsidR="001C1926" w:rsidRPr="0040273E" w14:paraId="54F1C641" w14:textId="77777777" w:rsidTr="001C1926">
        <w:tc>
          <w:tcPr>
            <w:tcW w:w="720" w:type="dxa"/>
            <w:vAlign w:val="center"/>
          </w:tcPr>
          <w:p w14:paraId="17FB949C" w14:textId="77777777" w:rsidR="001C1926" w:rsidRPr="0040273E" w:rsidRDefault="001C1926" w:rsidP="00AA2FC3">
            <w:pPr>
              <w:jc w:val="center"/>
              <w:rPr>
                <w:rFonts w:ascii="Times New Roman" w:hAnsi="Times New Roman"/>
                <w:b/>
              </w:rPr>
            </w:pPr>
          </w:p>
        </w:tc>
        <w:tc>
          <w:tcPr>
            <w:tcW w:w="720" w:type="dxa"/>
          </w:tcPr>
          <w:p w14:paraId="63E8CDF2" w14:textId="77777777" w:rsidR="001C1926" w:rsidRPr="001D06CC" w:rsidRDefault="001C1926" w:rsidP="00AA2FC3">
            <w:pPr>
              <w:jc w:val="center"/>
              <w:rPr>
                <w:rFonts w:ascii="Times New Roman" w:hAnsi="Times New Roman"/>
                <w:b/>
                <w:spacing w:val="-2"/>
              </w:rPr>
            </w:pPr>
          </w:p>
        </w:tc>
        <w:tc>
          <w:tcPr>
            <w:tcW w:w="7249" w:type="dxa"/>
          </w:tcPr>
          <w:p w14:paraId="4E2AA466" w14:textId="6EF0F547" w:rsidR="001C1926" w:rsidRPr="004854AF" w:rsidRDefault="001C1926" w:rsidP="00F12A1B">
            <w:pPr>
              <w:rPr>
                <w:rFonts w:ascii="Times New Roman" w:hAnsi="Times New Roman"/>
              </w:rPr>
            </w:pPr>
            <w:r w:rsidRPr="004854AF">
              <w:rPr>
                <w:rFonts w:ascii="Times New Roman" w:hAnsi="Times New Roman"/>
              </w:rPr>
              <w:t xml:space="preserve">Discharge point is a minimum </w:t>
            </w:r>
            <w:r w:rsidR="004854AF" w:rsidRPr="004854AF">
              <w:rPr>
                <w:rFonts w:ascii="Times New Roman" w:hAnsi="Times New Roman"/>
              </w:rPr>
              <w:t xml:space="preserve">of </w:t>
            </w:r>
            <w:r w:rsidRPr="004854AF">
              <w:rPr>
                <w:rFonts w:ascii="Times New Roman" w:hAnsi="Times New Roman"/>
              </w:rPr>
              <w:t>10 feet downgradient of the drainfield primary and reserve areas.</w:t>
            </w:r>
            <w:r w:rsidRPr="004854AF">
              <w:rPr>
                <w:rFonts w:ascii="Times New Roman" w:hAnsi="Times New Roman"/>
                <w:szCs w:val="24"/>
              </w:rPr>
              <w:t xml:space="preserve"> In addition, the </w:t>
            </w:r>
            <w:r w:rsidR="0095547C" w:rsidRPr="004854AF">
              <w:rPr>
                <w:rFonts w:ascii="Times New Roman" w:hAnsi="Times New Roman"/>
                <w:szCs w:val="24"/>
              </w:rPr>
              <w:t>flow path</w:t>
            </w:r>
            <w:r w:rsidRPr="004854AF">
              <w:rPr>
                <w:rFonts w:ascii="Times New Roman" w:hAnsi="Times New Roman"/>
                <w:szCs w:val="24"/>
              </w:rPr>
              <w:t xml:space="preserve"> does not intersect with the drainfield primary and reserve area. These requirements can be waived if site topography will clearly prohibit flows from intersecting the drainfield or where site conditions (soil permeability, distance between systems, etc.) indicate that this is unnecessary.</w:t>
            </w:r>
          </w:p>
        </w:tc>
      </w:tr>
      <w:tr w:rsidR="001C1926" w:rsidRPr="0040273E" w14:paraId="4857FE51" w14:textId="77777777" w:rsidTr="001C1926">
        <w:tc>
          <w:tcPr>
            <w:tcW w:w="720" w:type="dxa"/>
            <w:tcBorders>
              <w:bottom w:val="single" w:sz="4" w:space="0" w:color="auto"/>
            </w:tcBorders>
            <w:vAlign w:val="center"/>
          </w:tcPr>
          <w:p w14:paraId="24425294" w14:textId="77777777" w:rsidR="001C1926" w:rsidRPr="0040273E" w:rsidRDefault="001C1926" w:rsidP="00AA2FC3">
            <w:pPr>
              <w:jc w:val="center"/>
              <w:rPr>
                <w:rFonts w:ascii="Times New Roman" w:hAnsi="Times New Roman"/>
                <w:b/>
              </w:rPr>
            </w:pPr>
          </w:p>
        </w:tc>
        <w:tc>
          <w:tcPr>
            <w:tcW w:w="720" w:type="dxa"/>
            <w:tcBorders>
              <w:bottom w:val="single" w:sz="4" w:space="0" w:color="auto"/>
            </w:tcBorders>
          </w:tcPr>
          <w:p w14:paraId="01D451CC" w14:textId="77777777" w:rsidR="001C1926" w:rsidRPr="001D06CC" w:rsidRDefault="001C1926" w:rsidP="00AA2FC3">
            <w:pPr>
              <w:jc w:val="center"/>
              <w:rPr>
                <w:rFonts w:ascii="Times New Roman" w:hAnsi="Times New Roman"/>
                <w:b/>
                <w:spacing w:val="-2"/>
              </w:rPr>
            </w:pPr>
          </w:p>
        </w:tc>
        <w:tc>
          <w:tcPr>
            <w:tcW w:w="7249" w:type="dxa"/>
            <w:tcBorders>
              <w:bottom w:val="single" w:sz="4" w:space="0" w:color="auto"/>
            </w:tcBorders>
          </w:tcPr>
          <w:p w14:paraId="44E60B9A" w14:textId="7E613E5A" w:rsidR="001C1926" w:rsidRPr="00E644F3" w:rsidRDefault="0095547C" w:rsidP="00AA2FC3">
            <w:pPr>
              <w:rPr>
                <w:rFonts w:ascii="Times New Roman" w:hAnsi="Times New Roman"/>
              </w:rPr>
            </w:pPr>
            <w:r w:rsidRPr="00E644F3">
              <w:rPr>
                <w:rFonts w:ascii="Times New Roman" w:hAnsi="Times New Roman"/>
              </w:rPr>
              <w:t>Flow path</w:t>
            </w:r>
            <w:r w:rsidR="001C1926" w:rsidRPr="00E644F3">
              <w:rPr>
                <w:rFonts w:ascii="Times New Roman" w:hAnsi="Times New Roman"/>
              </w:rPr>
              <w:t xml:space="preserve"> is not over contaminated sites or abandoned landfills.</w:t>
            </w:r>
          </w:p>
        </w:tc>
      </w:tr>
      <w:tr w:rsidR="001C1926" w:rsidRPr="0040273E" w14:paraId="156CB8F0" w14:textId="77777777" w:rsidTr="001C1926">
        <w:trPr>
          <w:trHeight w:val="359"/>
        </w:trPr>
        <w:tc>
          <w:tcPr>
            <w:tcW w:w="720" w:type="dxa"/>
            <w:vAlign w:val="center"/>
          </w:tcPr>
          <w:p w14:paraId="30D4E7AF" w14:textId="77777777" w:rsidR="001C1926" w:rsidRPr="0040273E" w:rsidRDefault="001C1926" w:rsidP="00AA2FC3">
            <w:pPr>
              <w:jc w:val="center"/>
              <w:rPr>
                <w:rFonts w:ascii="Times New Roman" w:hAnsi="Times New Roman"/>
                <w:b/>
              </w:rPr>
            </w:pPr>
          </w:p>
        </w:tc>
        <w:tc>
          <w:tcPr>
            <w:tcW w:w="720" w:type="dxa"/>
          </w:tcPr>
          <w:p w14:paraId="72C8F44C" w14:textId="77777777" w:rsidR="001C1926" w:rsidRPr="001D06CC" w:rsidRDefault="001C1926" w:rsidP="00AA2FC3">
            <w:pPr>
              <w:jc w:val="center"/>
              <w:rPr>
                <w:rFonts w:ascii="Times New Roman" w:hAnsi="Times New Roman"/>
                <w:b/>
                <w:spacing w:val="-2"/>
              </w:rPr>
            </w:pPr>
          </w:p>
        </w:tc>
        <w:tc>
          <w:tcPr>
            <w:tcW w:w="7249" w:type="dxa"/>
          </w:tcPr>
          <w:p w14:paraId="2250EBA4" w14:textId="6360189A" w:rsidR="001C1926" w:rsidRPr="004D0D2E" w:rsidRDefault="001C1926" w:rsidP="00F12A1B">
            <w:pPr>
              <w:rPr>
                <w:rFonts w:ascii="Times New Roman" w:hAnsi="Times New Roman"/>
                <w:highlight w:val="yellow"/>
              </w:rPr>
            </w:pPr>
            <w:r w:rsidRPr="00E644F3">
              <w:rPr>
                <w:rFonts w:ascii="Times New Roman" w:hAnsi="Times New Roman"/>
              </w:rPr>
              <w:t>Contributing surfaces to dispersion areas are flat or moderately sloping (less than 15% slope) surfaces such as driveways, sport courts, patios, roofs without gutters, lawns, pastures, or any situation where concentration of flows can be avoided.</w:t>
            </w:r>
          </w:p>
        </w:tc>
      </w:tr>
      <w:tr w:rsidR="001C1926" w:rsidRPr="0040273E" w14:paraId="4EA8B705" w14:textId="77777777" w:rsidTr="001C1926">
        <w:trPr>
          <w:trHeight w:val="35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E04C7D"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E31ED1" w14:textId="77777777" w:rsidR="001C1926" w:rsidRPr="003C1377"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shd w:val="clear" w:color="auto" w:fill="auto"/>
          </w:tcPr>
          <w:p w14:paraId="782215BC" w14:textId="080622F7" w:rsidR="001C1926" w:rsidRPr="004D0D2E" w:rsidRDefault="001C1926" w:rsidP="00AA2FC3">
            <w:pPr>
              <w:rPr>
                <w:rFonts w:ascii="Times New Roman" w:hAnsi="Times New Roman"/>
                <w:highlight w:val="yellow"/>
              </w:rPr>
            </w:pPr>
            <w:r w:rsidRPr="00E644F3">
              <w:rPr>
                <w:rFonts w:ascii="Times New Roman" w:hAnsi="Times New Roman"/>
              </w:rPr>
              <w:t>The dispersion area is graded to avoid concentrating flows (if not, the project should be using Concentrated Flow Dispersion BMP)</w:t>
            </w:r>
          </w:p>
        </w:tc>
      </w:tr>
      <w:tr w:rsidR="001C1926" w:rsidRPr="0040273E" w14:paraId="1F0A8EC5" w14:textId="77777777" w:rsidTr="001C1926">
        <w:trPr>
          <w:trHeight w:val="359"/>
        </w:trPr>
        <w:tc>
          <w:tcPr>
            <w:tcW w:w="720" w:type="dxa"/>
            <w:vAlign w:val="center"/>
          </w:tcPr>
          <w:p w14:paraId="025D04EC" w14:textId="77777777" w:rsidR="001C1926" w:rsidRPr="0040273E" w:rsidRDefault="001C1926" w:rsidP="00AA2FC3">
            <w:pPr>
              <w:jc w:val="center"/>
              <w:rPr>
                <w:rFonts w:ascii="Times New Roman" w:hAnsi="Times New Roman"/>
                <w:b/>
              </w:rPr>
            </w:pPr>
          </w:p>
        </w:tc>
        <w:tc>
          <w:tcPr>
            <w:tcW w:w="720" w:type="dxa"/>
          </w:tcPr>
          <w:p w14:paraId="45929086" w14:textId="77777777" w:rsidR="001C1926" w:rsidRPr="001D06CC" w:rsidRDefault="001C1926" w:rsidP="00AA2FC3">
            <w:pPr>
              <w:jc w:val="center"/>
              <w:rPr>
                <w:rFonts w:ascii="Times New Roman" w:hAnsi="Times New Roman"/>
                <w:b/>
                <w:spacing w:val="-2"/>
              </w:rPr>
            </w:pPr>
          </w:p>
        </w:tc>
        <w:tc>
          <w:tcPr>
            <w:tcW w:w="7249" w:type="dxa"/>
          </w:tcPr>
          <w:p w14:paraId="22BF46C4" w14:textId="6E782177" w:rsidR="001C1926" w:rsidRPr="004D0D2E" w:rsidRDefault="001C1926" w:rsidP="00AA2FC3">
            <w:pPr>
              <w:rPr>
                <w:rFonts w:ascii="Times New Roman" w:hAnsi="Times New Roman"/>
                <w:highlight w:val="yellow"/>
              </w:rPr>
            </w:pPr>
            <w:r w:rsidRPr="00E644F3">
              <w:rPr>
                <w:rFonts w:ascii="Times New Roman" w:hAnsi="Times New Roman"/>
              </w:rPr>
              <w:t>Sheet flow dispersion is designed as shown in LID.06</w:t>
            </w:r>
            <w:r w:rsidR="00E644F3" w:rsidRPr="00E644F3">
              <w:rPr>
                <w:rFonts w:ascii="Times New Roman" w:hAnsi="Times New Roman"/>
              </w:rPr>
              <w:t>:</w:t>
            </w:r>
            <w:r w:rsidRPr="00E644F3">
              <w:rPr>
                <w:rFonts w:ascii="Times New Roman" w:hAnsi="Times New Roman"/>
              </w:rPr>
              <w:t xml:space="preserve"> Sheet Flow Dispersion.</w:t>
            </w:r>
          </w:p>
        </w:tc>
      </w:tr>
      <w:tr w:rsidR="001C1926" w:rsidRPr="0040273E" w14:paraId="55184897" w14:textId="77777777" w:rsidTr="001C1926">
        <w:trPr>
          <w:trHeight w:val="359"/>
        </w:trPr>
        <w:tc>
          <w:tcPr>
            <w:tcW w:w="720" w:type="dxa"/>
            <w:shd w:val="clear" w:color="auto" w:fill="DBE5F1" w:themeFill="accent1" w:themeFillTint="33"/>
            <w:vAlign w:val="center"/>
          </w:tcPr>
          <w:p w14:paraId="5197864F" w14:textId="77777777" w:rsidR="001C1926" w:rsidRPr="0040273E" w:rsidRDefault="001C1926" w:rsidP="00AA2FC3">
            <w:pPr>
              <w:jc w:val="center"/>
              <w:rPr>
                <w:rFonts w:ascii="Times New Roman" w:hAnsi="Times New Roman"/>
                <w:b/>
              </w:rPr>
            </w:pPr>
          </w:p>
        </w:tc>
        <w:tc>
          <w:tcPr>
            <w:tcW w:w="720" w:type="dxa"/>
            <w:shd w:val="clear" w:color="auto" w:fill="DBE5F1" w:themeFill="accent1" w:themeFillTint="33"/>
          </w:tcPr>
          <w:p w14:paraId="3D086E0D" w14:textId="77777777" w:rsidR="001C1926" w:rsidRPr="001D06CC" w:rsidRDefault="001C1926" w:rsidP="00AA2FC3">
            <w:pPr>
              <w:jc w:val="center"/>
              <w:rPr>
                <w:rFonts w:ascii="Times New Roman" w:hAnsi="Times New Roman"/>
                <w:b/>
                <w:spacing w:val="-2"/>
              </w:rPr>
            </w:pPr>
          </w:p>
        </w:tc>
        <w:tc>
          <w:tcPr>
            <w:tcW w:w="7249" w:type="dxa"/>
            <w:shd w:val="clear" w:color="auto" w:fill="DBE5F1" w:themeFill="accent1" w:themeFillTint="33"/>
          </w:tcPr>
          <w:p w14:paraId="2AD6669F" w14:textId="77777777" w:rsidR="001C1926" w:rsidRDefault="001C1926" w:rsidP="00AA2FC3">
            <w:pPr>
              <w:tabs>
                <w:tab w:val="left" w:pos="1046"/>
                <w:tab w:val="center" w:pos="3132"/>
              </w:tabs>
              <w:rPr>
                <w:rFonts w:ascii="Times New Roman" w:hAnsi="Times New Roman"/>
                <w:b/>
              </w:rPr>
            </w:pPr>
            <w:r>
              <w:rPr>
                <w:rFonts w:ascii="Times New Roman" w:hAnsi="Times New Roman"/>
                <w:b/>
              </w:rPr>
              <w:tab/>
            </w:r>
            <w:r>
              <w:rPr>
                <w:rFonts w:ascii="Times New Roman" w:hAnsi="Times New Roman"/>
                <w:b/>
              </w:rPr>
              <w:tab/>
            </w:r>
            <w:r w:rsidRPr="0040120C">
              <w:rPr>
                <w:rFonts w:ascii="Times New Roman" w:hAnsi="Times New Roman"/>
                <w:b/>
              </w:rPr>
              <w:t>For F</w:t>
            </w:r>
            <w:r w:rsidRPr="00124BDC">
              <w:rPr>
                <w:rFonts w:ascii="Times New Roman" w:hAnsi="Times New Roman"/>
                <w:b/>
              </w:rPr>
              <w:t xml:space="preserve">lat to </w:t>
            </w:r>
            <w:r w:rsidRPr="0040120C">
              <w:rPr>
                <w:rFonts w:ascii="Times New Roman" w:hAnsi="Times New Roman"/>
                <w:b/>
              </w:rPr>
              <w:t>M</w:t>
            </w:r>
            <w:r w:rsidRPr="00124BDC">
              <w:rPr>
                <w:rFonts w:ascii="Times New Roman" w:hAnsi="Times New Roman"/>
                <w:b/>
              </w:rPr>
              <w:t xml:space="preserve">oderately </w:t>
            </w:r>
            <w:r w:rsidRPr="0040120C">
              <w:rPr>
                <w:rFonts w:ascii="Times New Roman" w:hAnsi="Times New Roman"/>
                <w:b/>
              </w:rPr>
              <w:t>Sloped A</w:t>
            </w:r>
            <w:r>
              <w:rPr>
                <w:rFonts w:ascii="Times New Roman" w:hAnsi="Times New Roman"/>
                <w:b/>
              </w:rPr>
              <w:t>reas O</w:t>
            </w:r>
            <w:r w:rsidRPr="00124BDC">
              <w:rPr>
                <w:rFonts w:ascii="Times New Roman" w:hAnsi="Times New Roman"/>
                <w:b/>
              </w:rPr>
              <w:t>nly</w:t>
            </w:r>
            <w:r>
              <w:rPr>
                <w:rFonts w:ascii="Times New Roman" w:hAnsi="Times New Roman"/>
                <w:b/>
              </w:rPr>
              <w:t xml:space="preserve"> </w:t>
            </w:r>
          </w:p>
          <w:p w14:paraId="0772AB0A" w14:textId="19179EEC" w:rsidR="001C1926" w:rsidRDefault="001C1926" w:rsidP="00F12A1B">
            <w:pPr>
              <w:tabs>
                <w:tab w:val="left" w:pos="1046"/>
                <w:tab w:val="center" w:pos="3132"/>
              </w:tabs>
              <w:jc w:val="center"/>
              <w:rPr>
                <w:rFonts w:ascii="Times New Roman" w:hAnsi="Times New Roman"/>
              </w:rPr>
            </w:pPr>
            <w:r w:rsidRPr="00124BDC">
              <w:rPr>
                <w:rFonts w:ascii="Times New Roman" w:hAnsi="Times New Roman"/>
              </w:rPr>
              <w:t>(</w:t>
            </w:r>
            <w:r>
              <w:rPr>
                <w:rFonts w:ascii="Times New Roman" w:eastAsiaTheme="minorHAnsi" w:hAnsi="Times New Roman"/>
                <w:spacing w:val="0"/>
                <w:szCs w:val="24"/>
              </w:rPr>
              <w:t>less than 15% slope)</w:t>
            </w:r>
          </w:p>
        </w:tc>
      </w:tr>
      <w:tr w:rsidR="001C1926" w:rsidRPr="0040273E" w14:paraId="35C8BB0C" w14:textId="77777777" w:rsidTr="001C1926">
        <w:trPr>
          <w:trHeight w:val="77"/>
        </w:trPr>
        <w:tc>
          <w:tcPr>
            <w:tcW w:w="720" w:type="dxa"/>
            <w:tcBorders>
              <w:top w:val="single" w:sz="4" w:space="0" w:color="auto"/>
              <w:left w:val="single" w:sz="4" w:space="0" w:color="auto"/>
              <w:bottom w:val="single" w:sz="4" w:space="0" w:color="auto"/>
              <w:right w:val="single" w:sz="4" w:space="0" w:color="auto"/>
            </w:tcBorders>
            <w:vAlign w:val="center"/>
          </w:tcPr>
          <w:p w14:paraId="6EFE5734"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2E644F2B"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593DE00A" w14:textId="656CB589" w:rsidR="001C1926" w:rsidRPr="004854AF" w:rsidDel="00C63F0D" w:rsidRDefault="001C1926" w:rsidP="00F12A1B">
            <w:pPr>
              <w:rPr>
                <w:rFonts w:ascii="Times New Roman" w:hAnsi="Times New Roman"/>
                <w:spacing w:val="-2"/>
              </w:rPr>
            </w:pPr>
            <w:r w:rsidRPr="004854AF">
              <w:rPr>
                <w:rFonts w:ascii="Times New Roman" w:hAnsi="Times New Roman"/>
                <w:spacing w:val="-2"/>
              </w:rPr>
              <w:t xml:space="preserve">The contributing area cross-slope is a </w:t>
            </w:r>
            <w:r w:rsidR="004854AF" w:rsidRPr="004854AF">
              <w:rPr>
                <w:rFonts w:ascii="Times New Roman" w:hAnsi="Times New Roman"/>
                <w:spacing w:val="-2"/>
              </w:rPr>
              <w:t>maximum</w:t>
            </w:r>
            <w:r w:rsidRPr="004854AF">
              <w:rPr>
                <w:rFonts w:ascii="Times New Roman" w:hAnsi="Times New Roman"/>
                <w:spacing w:val="-2"/>
              </w:rPr>
              <w:t xml:space="preserve"> of 2%.</w:t>
            </w:r>
          </w:p>
        </w:tc>
      </w:tr>
      <w:tr w:rsidR="001C1926" w:rsidRPr="0040273E" w14:paraId="2692D6D8" w14:textId="77777777" w:rsidTr="004854AF">
        <w:trPr>
          <w:trHeight w:val="314"/>
        </w:trPr>
        <w:tc>
          <w:tcPr>
            <w:tcW w:w="720" w:type="dxa"/>
            <w:vAlign w:val="center"/>
          </w:tcPr>
          <w:p w14:paraId="0B6A3196" w14:textId="77777777" w:rsidR="001C1926" w:rsidRPr="0040273E" w:rsidRDefault="001C1926" w:rsidP="00AA2FC3">
            <w:pPr>
              <w:jc w:val="center"/>
              <w:rPr>
                <w:rFonts w:ascii="Times New Roman" w:hAnsi="Times New Roman"/>
                <w:b/>
              </w:rPr>
            </w:pPr>
          </w:p>
        </w:tc>
        <w:tc>
          <w:tcPr>
            <w:tcW w:w="720" w:type="dxa"/>
          </w:tcPr>
          <w:p w14:paraId="03FCF760" w14:textId="77777777" w:rsidR="001C1926" w:rsidRPr="001D06CC" w:rsidRDefault="001C1926" w:rsidP="00AA2FC3">
            <w:pPr>
              <w:jc w:val="center"/>
              <w:rPr>
                <w:rFonts w:ascii="Times New Roman" w:hAnsi="Times New Roman"/>
                <w:b/>
                <w:spacing w:val="-2"/>
              </w:rPr>
            </w:pPr>
          </w:p>
        </w:tc>
        <w:tc>
          <w:tcPr>
            <w:tcW w:w="7249" w:type="dxa"/>
          </w:tcPr>
          <w:p w14:paraId="1AAAD3FA" w14:textId="4B714658" w:rsidR="001C1926" w:rsidRPr="004854AF" w:rsidRDefault="001C1926" w:rsidP="00AA2FC3">
            <w:pPr>
              <w:rPr>
                <w:rFonts w:ascii="Times New Roman" w:hAnsi="Times New Roman"/>
                <w:spacing w:val="-2"/>
              </w:rPr>
            </w:pPr>
            <w:r w:rsidRPr="004854AF">
              <w:rPr>
                <w:rFonts w:ascii="Times New Roman" w:hAnsi="Times New Roman"/>
                <w:spacing w:val="-2"/>
              </w:rPr>
              <w:t>A transition zone and vegetated buffer is provided.</w:t>
            </w:r>
          </w:p>
        </w:tc>
      </w:tr>
      <w:tr w:rsidR="001C1926" w:rsidRPr="0040273E" w14:paraId="27E5AAE8" w14:textId="77777777" w:rsidTr="001C1926">
        <w:trPr>
          <w:trHeight w:val="77"/>
        </w:trPr>
        <w:tc>
          <w:tcPr>
            <w:tcW w:w="720" w:type="dxa"/>
            <w:vAlign w:val="center"/>
          </w:tcPr>
          <w:p w14:paraId="340880C5" w14:textId="77777777" w:rsidR="001C1926" w:rsidRPr="0040273E" w:rsidRDefault="001C1926" w:rsidP="00AA2FC3">
            <w:pPr>
              <w:jc w:val="center"/>
              <w:rPr>
                <w:rFonts w:ascii="Times New Roman" w:hAnsi="Times New Roman"/>
                <w:b/>
              </w:rPr>
            </w:pPr>
          </w:p>
        </w:tc>
        <w:tc>
          <w:tcPr>
            <w:tcW w:w="720" w:type="dxa"/>
          </w:tcPr>
          <w:p w14:paraId="4540E134" w14:textId="77777777" w:rsidR="001C1926" w:rsidRPr="001D06CC" w:rsidRDefault="001C1926" w:rsidP="00AA2FC3">
            <w:pPr>
              <w:jc w:val="center"/>
              <w:rPr>
                <w:rFonts w:ascii="Times New Roman" w:hAnsi="Times New Roman"/>
                <w:b/>
                <w:spacing w:val="-2"/>
              </w:rPr>
            </w:pPr>
          </w:p>
        </w:tc>
        <w:tc>
          <w:tcPr>
            <w:tcW w:w="7249" w:type="dxa"/>
          </w:tcPr>
          <w:p w14:paraId="650C6759" w14:textId="23B30B37" w:rsidR="001C1926" w:rsidRPr="004D0D2E" w:rsidDel="00C63F0D" w:rsidRDefault="001C1926" w:rsidP="00AA2FC3">
            <w:pPr>
              <w:rPr>
                <w:rFonts w:ascii="Times New Roman" w:hAnsi="Times New Roman"/>
                <w:highlight w:val="yellow"/>
              </w:rPr>
            </w:pPr>
            <w:r w:rsidRPr="004854AF">
              <w:rPr>
                <w:rFonts w:ascii="Times New Roman" w:hAnsi="Times New Roman"/>
                <w:spacing w:val="-2"/>
              </w:rPr>
              <w:t>The transition zone is located at least 25 feet from the right-of-way if the contributing area slopes toward street.</w:t>
            </w:r>
          </w:p>
        </w:tc>
      </w:tr>
      <w:tr w:rsidR="001C1926" w:rsidRPr="0040273E" w14:paraId="72ABCF17" w14:textId="77777777" w:rsidTr="001C1926">
        <w:trPr>
          <w:trHeight w:val="77"/>
        </w:trPr>
        <w:tc>
          <w:tcPr>
            <w:tcW w:w="720" w:type="dxa"/>
            <w:tcBorders>
              <w:top w:val="single" w:sz="4" w:space="0" w:color="auto"/>
              <w:left w:val="single" w:sz="4" w:space="0" w:color="auto"/>
              <w:bottom w:val="single" w:sz="4" w:space="0" w:color="auto"/>
              <w:right w:val="single" w:sz="4" w:space="0" w:color="auto"/>
            </w:tcBorders>
            <w:vAlign w:val="center"/>
          </w:tcPr>
          <w:p w14:paraId="4441BB76"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28C16E0B"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1FA75D1C" w14:textId="69322F88" w:rsidR="001C1926" w:rsidRPr="00E644F3" w:rsidRDefault="001C1926">
            <w:pPr>
              <w:rPr>
                <w:rFonts w:ascii="Times New Roman" w:hAnsi="Times New Roman"/>
                <w:spacing w:val="-2"/>
              </w:rPr>
            </w:pPr>
            <w:r w:rsidRPr="00E644F3">
              <w:rPr>
                <w:rFonts w:ascii="Times New Roman" w:hAnsi="Times New Roman"/>
                <w:spacing w:val="-2"/>
              </w:rPr>
              <w:t xml:space="preserve">The transition zone is 2 feet wide and is between the edge of the contributing surface (or building eaves) and the downslope vegetation. </w:t>
            </w:r>
          </w:p>
        </w:tc>
      </w:tr>
      <w:tr w:rsidR="001C1926" w:rsidRPr="0040273E" w14:paraId="6DA60760" w14:textId="77777777" w:rsidTr="001C1926">
        <w:trPr>
          <w:trHeight w:val="77"/>
        </w:trPr>
        <w:tc>
          <w:tcPr>
            <w:tcW w:w="720" w:type="dxa"/>
            <w:tcBorders>
              <w:top w:val="single" w:sz="4" w:space="0" w:color="auto"/>
              <w:left w:val="single" w:sz="4" w:space="0" w:color="auto"/>
              <w:bottom w:val="single" w:sz="4" w:space="0" w:color="auto"/>
              <w:right w:val="single" w:sz="4" w:space="0" w:color="auto"/>
            </w:tcBorders>
            <w:vAlign w:val="center"/>
          </w:tcPr>
          <w:p w14:paraId="2F8455F1"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02E1DC84"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2DD55EE3" w14:textId="33F3CA04" w:rsidR="001C1926" w:rsidRPr="004854AF" w:rsidRDefault="001C1926" w:rsidP="00AA2FC3">
            <w:pPr>
              <w:rPr>
                <w:rFonts w:ascii="Times New Roman" w:hAnsi="Times New Roman"/>
                <w:spacing w:val="-2"/>
              </w:rPr>
            </w:pPr>
            <w:r w:rsidRPr="004854AF">
              <w:rPr>
                <w:rFonts w:ascii="Times New Roman" w:hAnsi="Times New Roman"/>
                <w:spacing w:val="-2"/>
              </w:rPr>
              <w:t xml:space="preserve">The transition zone consists of subgrade material (crushed rock), modular pavement, drain rock, or other material approved by </w:t>
            </w:r>
            <w:r w:rsidR="004854AF" w:rsidRPr="004854AF">
              <w:rPr>
                <w:rFonts w:ascii="Times New Roman" w:hAnsi="Times New Roman"/>
                <w:spacing w:val="-2"/>
              </w:rPr>
              <w:t>Thurston</w:t>
            </w:r>
            <w:r w:rsidRPr="004854AF">
              <w:rPr>
                <w:rFonts w:ascii="Times New Roman" w:hAnsi="Times New Roman"/>
                <w:spacing w:val="-2"/>
              </w:rPr>
              <w:t xml:space="preserve"> County.</w:t>
            </w:r>
          </w:p>
        </w:tc>
      </w:tr>
      <w:tr w:rsidR="001C1926" w:rsidRPr="0040273E" w14:paraId="3F458536" w14:textId="77777777" w:rsidTr="001C1926">
        <w:trPr>
          <w:trHeight w:val="77"/>
        </w:trPr>
        <w:tc>
          <w:tcPr>
            <w:tcW w:w="720" w:type="dxa"/>
            <w:tcBorders>
              <w:top w:val="single" w:sz="4" w:space="0" w:color="auto"/>
              <w:left w:val="single" w:sz="4" w:space="0" w:color="auto"/>
              <w:bottom w:val="single" w:sz="4" w:space="0" w:color="auto"/>
              <w:right w:val="single" w:sz="4" w:space="0" w:color="auto"/>
            </w:tcBorders>
            <w:vAlign w:val="center"/>
          </w:tcPr>
          <w:p w14:paraId="27C1D59D"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522CB489"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1816D712" w14:textId="30B734D7" w:rsidR="001C1926" w:rsidRPr="004D0D2E" w:rsidRDefault="001C1926">
            <w:pPr>
              <w:rPr>
                <w:rFonts w:ascii="Times New Roman" w:hAnsi="Times New Roman"/>
                <w:spacing w:val="-2"/>
                <w:highlight w:val="yellow"/>
              </w:rPr>
            </w:pPr>
            <w:r w:rsidRPr="00E644F3">
              <w:rPr>
                <w:rFonts w:ascii="Times New Roman" w:hAnsi="Times New Roman"/>
                <w:spacing w:val="-2"/>
              </w:rPr>
              <w:t>A 10-foot wide vegetated buffer for up to 20 feet of width of paved or surface, and an additional 10 feet of vegetated buffer width for each additional 20 feet of contributing area width or fraction thereof is provided.</w:t>
            </w:r>
          </w:p>
        </w:tc>
      </w:tr>
      <w:tr w:rsidR="001C1926" w:rsidRPr="0040273E" w14:paraId="6A58FCBA" w14:textId="77777777" w:rsidTr="001C1926">
        <w:trPr>
          <w:trHeight w:val="359"/>
        </w:trPr>
        <w:tc>
          <w:tcPr>
            <w:tcW w:w="720" w:type="dxa"/>
            <w:shd w:val="clear" w:color="auto" w:fill="DBE5F1" w:themeFill="accent1" w:themeFillTint="33"/>
            <w:vAlign w:val="center"/>
          </w:tcPr>
          <w:p w14:paraId="05163293" w14:textId="77777777" w:rsidR="001C1926" w:rsidRPr="0040273E" w:rsidRDefault="001C1926" w:rsidP="00AA2FC3">
            <w:pPr>
              <w:jc w:val="center"/>
              <w:rPr>
                <w:rFonts w:ascii="Times New Roman" w:hAnsi="Times New Roman"/>
                <w:b/>
              </w:rPr>
            </w:pPr>
          </w:p>
        </w:tc>
        <w:tc>
          <w:tcPr>
            <w:tcW w:w="720" w:type="dxa"/>
            <w:shd w:val="clear" w:color="auto" w:fill="DBE5F1" w:themeFill="accent1" w:themeFillTint="33"/>
          </w:tcPr>
          <w:p w14:paraId="3F9EF690" w14:textId="77777777" w:rsidR="001C1926" w:rsidRPr="001D06CC" w:rsidRDefault="001C1926" w:rsidP="00AA2FC3">
            <w:pPr>
              <w:jc w:val="center"/>
              <w:rPr>
                <w:rFonts w:ascii="Times New Roman" w:hAnsi="Times New Roman"/>
                <w:b/>
                <w:spacing w:val="-2"/>
              </w:rPr>
            </w:pPr>
          </w:p>
        </w:tc>
        <w:tc>
          <w:tcPr>
            <w:tcW w:w="7249" w:type="dxa"/>
            <w:shd w:val="clear" w:color="auto" w:fill="DBE5F1" w:themeFill="accent1" w:themeFillTint="33"/>
          </w:tcPr>
          <w:p w14:paraId="5CBB90D2" w14:textId="3123B607" w:rsidR="001C1926" w:rsidRDefault="001C1926" w:rsidP="00AA2FC3">
            <w:pPr>
              <w:tabs>
                <w:tab w:val="left" w:pos="1046"/>
                <w:tab w:val="center" w:pos="3132"/>
              </w:tabs>
              <w:jc w:val="center"/>
              <w:rPr>
                <w:rFonts w:ascii="Times New Roman" w:hAnsi="Times New Roman"/>
              </w:rPr>
            </w:pPr>
            <w:r w:rsidRPr="0040120C">
              <w:rPr>
                <w:rFonts w:ascii="Times New Roman" w:hAnsi="Times New Roman"/>
                <w:b/>
              </w:rPr>
              <w:t xml:space="preserve">For </w:t>
            </w:r>
            <w:r>
              <w:rPr>
                <w:rFonts w:ascii="Times New Roman" w:hAnsi="Times New Roman"/>
                <w:b/>
              </w:rPr>
              <w:t>Variable Sloped</w:t>
            </w:r>
            <w:r w:rsidRPr="00124BDC">
              <w:rPr>
                <w:rFonts w:ascii="Times New Roman" w:hAnsi="Times New Roman"/>
                <w:b/>
              </w:rPr>
              <w:t xml:space="preserve"> </w:t>
            </w:r>
            <w:r w:rsidRPr="0040120C">
              <w:rPr>
                <w:rFonts w:ascii="Times New Roman" w:hAnsi="Times New Roman"/>
                <w:b/>
              </w:rPr>
              <w:t>A</w:t>
            </w:r>
            <w:r w:rsidRPr="00124BDC">
              <w:rPr>
                <w:rFonts w:ascii="Times New Roman" w:hAnsi="Times New Roman"/>
                <w:b/>
              </w:rPr>
              <w:t>reas</w:t>
            </w:r>
            <w:r w:rsidRPr="0040120C">
              <w:rPr>
                <w:rFonts w:ascii="Times New Roman" w:hAnsi="Times New Roman"/>
              </w:rPr>
              <w:t xml:space="preserve"> </w:t>
            </w:r>
            <w:r w:rsidRPr="00124BDC">
              <w:rPr>
                <w:rFonts w:ascii="Times New Roman" w:hAnsi="Times New Roman"/>
                <w:b/>
              </w:rPr>
              <w:t>Only</w:t>
            </w:r>
          </w:p>
          <w:p w14:paraId="5065BEE3" w14:textId="7F72E3D0" w:rsidR="001C1926" w:rsidRPr="00412F39" w:rsidRDefault="001C1926" w:rsidP="00F12A1B">
            <w:pPr>
              <w:tabs>
                <w:tab w:val="left" w:pos="1046"/>
                <w:tab w:val="center" w:pos="3132"/>
              </w:tabs>
              <w:jc w:val="center"/>
              <w:rPr>
                <w:rFonts w:ascii="Times New Roman" w:hAnsi="Times New Roman"/>
              </w:rPr>
            </w:pPr>
            <w:r w:rsidRPr="0040120C">
              <w:rPr>
                <w:rFonts w:ascii="Times New Roman" w:hAnsi="Times New Roman"/>
              </w:rPr>
              <w:t>(</w:t>
            </w:r>
            <w:r>
              <w:rPr>
                <w:rFonts w:ascii="Times New Roman" w:eastAsiaTheme="minorHAnsi" w:hAnsi="Times New Roman"/>
                <w:spacing w:val="0"/>
                <w:szCs w:val="24"/>
              </w:rPr>
              <w:t>less than 15% slope overall</w:t>
            </w:r>
            <w:r w:rsidRPr="00412F39">
              <w:rPr>
                <w:rFonts w:ascii="Times New Roman" w:hAnsi="Times New Roman"/>
              </w:rPr>
              <w:t xml:space="preserve">, but </w:t>
            </w:r>
            <w:r>
              <w:rPr>
                <w:rFonts w:ascii="Times New Roman" w:hAnsi="Times New Roman"/>
              </w:rPr>
              <w:t>variable in longitudinal and/or cross slope</w:t>
            </w:r>
            <w:r w:rsidRPr="00412F39">
              <w:rPr>
                <w:rFonts w:ascii="Times New Roman" w:eastAsiaTheme="minorHAnsi" w:hAnsi="Times New Roman"/>
                <w:spacing w:val="0"/>
                <w:szCs w:val="24"/>
              </w:rPr>
              <w:t>)</w:t>
            </w:r>
          </w:p>
        </w:tc>
      </w:tr>
      <w:tr w:rsidR="001C1926" w:rsidRPr="0040273E" w14:paraId="690BA338" w14:textId="77777777" w:rsidTr="001C1926">
        <w:trPr>
          <w:trHeight w:val="359"/>
        </w:trPr>
        <w:tc>
          <w:tcPr>
            <w:tcW w:w="720" w:type="dxa"/>
            <w:vAlign w:val="center"/>
          </w:tcPr>
          <w:p w14:paraId="5C07382A" w14:textId="77777777" w:rsidR="001C1926" w:rsidRPr="0040273E" w:rsidRDefault="001C1926" w:rsidP="00AA2FC3">
            <w:pPr>
              <w:jc w:val="center"/>
              <w:rPr>
                <w:rFonts w:ascii="Times New Roman" w:hAnsi="Times New Roman"/>
                <w:b/>
              </w:rPr>
            </w:pPr>
          </w:p>
        </w:tc>
        <w:tc>
          <w:tcPr>
            <w:tcW w:w="720" w:type="dxa"/>
          </w:tcPr>
          <w:p w14:paraId="1C027F59" w14:textId="77777777" w:rsidR="001C1926" w:rsidRPr="001D06CC" w:rsidRDefault="001C1926" w:rsidP="00AA2FC3">
            <w:pPr>
              <w:jc w:val="center"/>
              <w:rPr>
                <w:rFonts w:ascii="Times New Roman" w:hAnsi="Times New Roman"/>
                <w:b/>
                <w:spacing w:val="-2"/>
              </w:rPr>
            </w:pPr>
          </w:p>
        </w:tc>
        <w:tc>
          <w:tcPr>
            <w:tcW w:w="7249" w:type="dxa"/>
          </w:tcPr>
          <w:p w14:paraId="26DC35E0" w14:textId="7F29CC74" w:rsidR="001C1926" w:rsidRPr="004854AF" w:rsidRDefault="001C1926" w:rsidP="00AA2FC3">
            <w:pPr>
              <w:rPr>
                <w:rFonts w:ascii="Times New Roman" w:hAnsi="Times New Roman"/>
              </w:rPr>
            </w:pPr>
            <w:r w:rsidRPr="004854AF">
              <w:rPr>
                <w:rFonts w:ascii="Times New Roman" w:hAnsi="Times New Roman"/>
              </w:rPr>
              <w:t>Berms and dispersion trenches are provided.</w:t>
            </w:r>
          </w:p>
        </w:tc>
      </w:tr>
      <w:tr w:rsidR="001C1926" w:rsidRPr="0040273E" w14:paraId="66E2F5B0" w14:textId="77777777" w:rsidTr="001C1926">
        <w:trPr>
          <w:trHeight w:val="359"/>
        </w:trPr>
        <w:tc>
          <w:tcPr>
            <w:tcW w:w="720" w:type="dxa"/>
            <w:vAlign w:val="center"/>
          </w:tcPr>
          <w:p w14:paraId="5102F334" w14:textId="77777777" w:rsidR="001C1926" w:rsidRPr="0040273E" w:rsidRDefault="001C1926" w:rsidP="00AA2FC3">
            <w:pPr>
              <w:jc w:val="center"/>
              <w:rPr>
                <w:rFonts w:ascii="Times New Roman" w:hAnsi="Times New Roman"/>
                <w:b/>
              </w:rPr>
            </w:pPr>
          </w:p>
        </w:tc>
        <w:tc>
          <w:tcPr>
            <w:tcW w:w="720" w:type="dxa"/>
          </w:tcPr>
          <w:p w14:paraId="7939032E" w14:textId="77777777" w:rsidR="001C1926" w:rsidRPr="001D06CC" w:rsidRDefault="001C1926" w:rsidP="00AA2FC3">
            <w:pPr>
              <w:jc w:val="center"/>
              <w:rPr>
                <w:rFonts w:ascii="Times New Roman" w:hAnsi="Times New Roman"/>
                <w:b/>
                <w:spacing w:val="-2"/>
              </w:rPr>
            </w:pPr>
          </w:p>
        </w:tc>
        <w:tc>
          <w:tcPr>
            <w:tcW w:w="7249" w:type="dxa"/>
          </w:tcPr>
          <w:p w14:paraId="1B3BF998" w14:textId="1A7390DD" w:rsidR="001C1926" w:rsidRPr="004854AF" w:rsidDel="00412F39" w:rsidRDefault="001C1926" w:rsidP="00AA2FC3">
            <w:pPr>
              <w:rPr>
                <w:rFonts w:ascii="Times New Roman" w:hAnsi="Times New Roman"/>
              </w:rPr>
            </w:pPr>
            <w:r w:rsidRPr="004854AF">
              <w:rPr>
                <w:rFonts w:ascii="Times New Roman" w:hAnsi="Times New Roman"/>
              </w:rPr>
              <w:t>Berms are diagonal to the direction of surface flow to intercept and convey runoff to dispersion trenches.</w:t>
            </w:r>
          </w:p>
        </w:tc>
      </w:tr>
      <w:tr w:rsidR="001C1926" w:rsidRPr="0040273E" w14:paraId="2F8E096C" w14:textId="77777777" w:rsidTr="001C1926">
        <w:trPr>
          <w:trHeight w:val="242"/>
        </w:trPr>
        <w:tc>
          <w:tcPr>
            <w:tcW w:w="720" w:type="dxa"/>
            <w:tcBorders>
              <w:top w:val="single" w:sz="4" w:space="0" w:color="auto"/>
              <w:left w:val="single" w:sz="4" w:space="0" w:color="auto"/>
              <w:bottom w:val="single" w:sz="4" w:space="0" w:color="auto"/>
              <w:right w:val="single" w:sz="4" w:space="0" w:color="auto"/>
            </w:tcBorders>
            <w:vAlign w:val="center"/>
          </w:tcPr>
          <w:p w14:paraId="4C0798C4"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5A7C7696"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73DE3B18" w14:textId="57AD1F0F" w:rsidR="001C1926" w:rsidRPr="004854AF" w:rsidDel="00C63F0D" w:rsidRDefault="001C1926" w:rsidP="00265FE4">
            <w:pPr>
              <w:rPr>
                <w:rFonts w:ascii="Times New Roman" w:hAnsi="Times New Roman"/>
              </w:rPr>
            </w:pPr>
            <w:r w:rsidRPr="004854AF">
              <w:rPr>
                <w:rFonts w:ascii="Times New Roman" w:hAnsi="Times New Roman"/>
              </w:rPr>
              <w:t>Berms are 6 inches wide and 2 to 4 inches  high.</w:t>
            </w:r>
            <w:r w:rsidRPr="004854AF" w:rsidDel="00066410">
              <w:rPr>
                <w:rFonts w:ascii="Times New Roman" w:hAnsi="Times New Roman"/>
              </w:rPr>
              <w:t xml:space="preserve"> </w:t>
            </w:r>
          </w:p>
        </w:tc>
      </w:tr>
      <w:tr w:rsidR="001C1926" w:rsidRPr="0040273E" w14:paraId="7E632BB0" w14:textId="77777777" w:rsidTr="001C1926">
        <w:trPr>
          <w:trHeight w:val="242"/>
        </w:trPr>
        <w:tc>
          <w:tcPr>
            <w:tcW w:w="720" w:type="dxa"/>
            <w:tcBorders>
              <w:top w:val="single" w:sz="4" w:space="0" w:color="auto"/>
              <w:left w:val="single" w:sz="4" w:space="0" w:color="auto"/>
              <w:bottom w:val="single" w:sz="4" w:space="0" w:color="auto"/>
              <w:right w:val="single" w:sz="4" w:space="0" w:color="auto"/>
            </w:tcBorders>
            <w:vAlign w:val="center"/>
          </w:tcPr>
          <w:p w14:paraId="0491E0F3" w14:textId="77777777" w:rsidR="001C1926" w:rsidRPr="0040273E" w:rsidRDefault="001C1926" w:rsidP="00AA2FC3">
            <w:pPr>
              <w:jc w:val="center"/>
              <w:rPr>
                <w:rFonts w:ascii="Times New Roman" w:hAnsi="Times New Roman"/>
                <w:b/>
              </w:rPr>
            </w:pPr>
          </w:p>
        </w:tc>
        <w:tc>
          <w:tcPr>
            <w:tcW w:w="720" w:type="dxa"/>
            <w:tcBorders>
              <w:top w:val="single" w:sz="4" w:space="0" w:color="auto"/>
              <w:left w:val="single" w:sz="4" w:space="0" w:color="auto"/>
              <w:bottom w:val="single" w:sz="4" w:space="0" w:color="auto"/>
              <w:right w:val="single" w:sz="4" w:space="0" w:color="auto"/>
            </w:tcBorders>
          </w:tcPr>
          <w:p w14:paraId="6B6F8684" w14:textId="77777777" w:rsidR="001C1926" w:rsidRPr="001D06CC" w:rsidRDefault="001C1926" w:rsidP="00AA2FC3">
            <w:pPr>
              <w:jc w:val="center"/>
              <w:rPr>
                <w:rFonts w:ascii="Times New Roman" w:hAnsi="Times New Roman"/>
                <w:b/>
                <w:spacing w:val="-2"/>
              </w:rPr>
            </w:pPr>
          </w:p>
        </w:tc>
        <w:tc>
          <w:tcPr>
            <w:tcW w:w="7249" w:type="dxa"/>
            <w:tcBorders>
              <w:top w:val="single" w:sz="4" w:space="0" w:color="auto"/>
              <w:left w:val="single" w:sz="4" w:space="0" w:color="auto"/>
              <w:bottom w:val="single" w:sz="4" w:space="0" w:color="auto"/>
              <w:right w:val="single" w:sz="4" w:space="0" w:color="auto"/>
            </w:tcBorders>
          </w:tcPr>
          <w:p w14:paraId="308877A8" w14:textId="2941D1B3" w:rsidR="001C1926" w:rsidRPr="004854AF" w:rsidDel="00C63F0D" w:rsidRDefault="001C1926" w:rsidP="00AA2FC3">
            <w:pPr>
              <w:rPr>
                <w:rFonts w:ascii="Times New Roman" w:hAnsi="Times New Roman"/>
              </w:rPr>
            </w:pPr>
            <w:r w:rsidRPr="004854AF">
              <w:rPr>
                <w:rFonts w:ascii="Times New Roman" w:hAnsi="Times New Roman"/>
              </w:rPr>
              <w:t>Berms are placed such that there is no more than 700 square feet of contributing area between berms.</w:t>
            </w:r>
          </w:p>
        </w:tc>
      </w:tr>
      <w:tr w:rsidR="001C1926" w:rsidRPr="0040273E" w14:paraId="24CAAE5A" w14:textId="77777777" w:rsidTr="001C1926">
        <w:trPr>
          <w:trHeight w:val="242"/>
        </w:trPr>
        <w:tc>
          <w:tcPr>
            <w:tcW w:w="720" w:type="dxa"/>
            <w:vAlign w:val="center"/>
          </w:tcPr>
          <w:p w14:paraId="24C1C2DE" w14:textId="77777777" w:rsidR="001C1926" w:rsidRPr="0040273E" w:rsidRDefault="001C1926" w:rsidP="00AA2FC3">
            <w:pPr>
              <w:jc w:val="center"/>
              <w:rPr>
                <w:rFonts w:ascii="Times New Roman" w:hAnsi="Times New Roman"/>
                <w:b/>
              </w:rPr>
            </w:pPr>
          </w:p>
        </w:tc>
        <w:tc>
          <w:tcPr>
            <w:tcW w:w="720" w:type="dxa"/>
          </w:tcPr>
          <w:p w14:paraId="385D80F6" w14:textId="77777777" w:rsidR="001C1926" w:rsidRPr="001D06CC" w:rsidRDefault="001C1926" w:rsidP="00AA2FC3">
            <w:pPr>
              <w:jc w:val="center"/>
              <w:rPr>
                <w:rFonts w:ascii="Times New Roman" w:hAnsi="Times New Roman"/>
                <w:b/>
                <w:spacing w:val="-2"/>
              </w:rPr>
            </w:pPr>
          </w:p>
        </w:tc>
        <w:tc>
          <w:tcPr>
            <w:tcW w:w="7249" w:type="dxa"/>
          </w:tcPr>
          <w:p w14:paraId="76292DB0" w14:textId="001F0B89" w:rsidR="001C1926" w:rsidRPr="004854AF" w:rsidRDefault="001C1926" w:rsidP="00AA2FC3">
            <w:pPr>
              <w:rPr>
                <w:rFonts w:ascii="Times New Roman" w:hAnsi="Times New Roman"/>
                <w:spacing w:val="-2"/>
              </w:rPr>
            </w:pPr>
            <w:r w:rsidRPr="004854AF">
              <w:rPr>
                <w:rFonts w:ascii="Times New Roman" w:hAnsi="Times New Roman"/>
              </w:rPr>
              <w:t>A</w:t>
            </w:r>
            <w:r w:rsidRPr="004854AF">
              <w:rPr>
                <w:rFonts w:ascii="Times New Roman" w:hAnsi="Times New Roman"/>
                <w:spacing w:val="-2"/>
              </w:rPr>
              <w:t xml:space="preserve"> minimum vegetated flow path of 25 feet is provided between berms.</w:t>
            </w:r>
          </w:p>
        </w:tc>
      </w:tr>
      <w:tr w:rsidR="001C1926" w:rsidRPr="0040273E" w14:paraId="44F77FA4" w14:textId="77777777" w:rsidTr="001C1926">
        <w:trPr>
          <w:trHeight w:val="77"/>
        </w:trPr>
        <w:tc>
          <w:tcPr>
            <w:tcW w:w="720" w:type="dxa"/>
            <w:vAlign w:val="center"/>
          </w:tcPr>
          <w:p w14:paraId="47B49D43" w14:textId="77777777" w:rsidR="001C1926" w:rsidRPr="0040273E" w:rsidRDefault="001C1926" w:rsidP="00AA2FC3">
            <w:pPr>
              <w:jc w:val="center"/>
              <w:rPr>
                <w:rFonts w:ascii="Times New Roman" w:hAnsi="Times New Roman"/>
                <w:b/>
              </w:rPr>
            </w:pPr>
          </w:p>
        </w:tc>
        <w:tc>
          <w:tcPr>
            <w:tcW w:w="720" w:type="dxa"/>
          </w:tcPr>
          <w:p w14:paraId="7701EAC7" w14:textId="77777777" w:rsidR="001C1926" w:rsidRPr="001D06CC" w:rsidRDefault="001C1926" w:rsidP="00AA2FC3">
            <w:pPr>
              <w:jc w:val="center"/>
              <w:rPr>
                <w:rFonts w:ascii="Times New Roman" w:hAnsi="Times New Roman"/>
                <w:b/>
                <w:spacing w:val="-2"/>
              </w:rPr>
            </w:pPr>
          </w:p>
        </w:tc>
        <w:tc>
          <w:tcPr>
            <w:tcW w:w="7249" w:type="dxa"/>
          </w:tcPr>
          <w:p w14:paraId="1F98D386" w14:textId="36B0A10F" w:rsidR="001C1926" w:rsidRPr="004854AF" w:rsidDel="00C63F0D" w:rsidRDefault="001C1926" w:rsidP="00AA2FC3">
            <w:pPr>
              <w:rPr>
                <w:rFonts w:ascii="Times New Roman" w:hAnsi="Times New Roman"/>
              </w:rPr>
            </w:pPr>
            <w:r w:rsidRPr="004854AF">
              <w:rPr>
                <w:rFonts w:ascii="Times New Roman" w:hAnsi="Times New Roman"/>
                <w:spacing w:val="-2"/>
              </w:rPr>
              <w:t>The dispersion trench is located at least 25 feet from the right-of-way if the contributing area slopes toward street.</w:t>
            </w:r>
          </w:p>
        </w:tc>
      </w:tr>
      <w:tr w:rsidR="001C1926" w:rsidRPr="0040273E" w14:paraId="7691B0C6" w14:textId="77777777" w:rsidTr="001C1926">
        <w:tc>
          <w:tcPr>
            <w:tcW w:w="720" w:type="dxa"/>
            <w:shd w:val="clear" w:color="auto" w:fill="B8CCE4" w:themeFill="accent1" w:themeFillTint="66"/>
            <w:vAlign w:val="center"/>
          </w:tcPr>
          <w:p w14:paraId="35B246F1" w14:textId="77777777" w:rsidR="001C1926" w:rsidRPr="0040273E" w:rsidRDefault="001C1926" w:rsidP="00AA2FC3">
            <w:pPr>
              <w:jc w:val="center"/>
              <w:rPr>
                <w:rFonts w:ascii="Times New Roman" w:hAnsi="Times New Roman"/>
                <w:b/>
              </w:rPr>
            </w:pPr>
          </w:p>
        </w:tc>
        <w:tc>
          <w:tcPr>
            <w:tcW w:w="720" w:type="dxa"/>
            <w:shd w:val="clear" w:color="auto" w:fill="B8CCE4" w:themeFill="accent1" w:themeFillTint="66"/>
          </w:tcPr>
          <w:p w14:paraId="23DA8CA5" w14:textId="77777777" w:rsidR="001C1926" w:rsidRPr="00FE0E2B" w:rsidRDefault="001C1926" w:rsidP="00AA2FC3">
            <w:pPr>
              <w:jc w:val="center"/>
              <w:rPr>
                <w:rFonts w:ascii="Times New Roman" w:hAnsi="Times New Roman"/>
                <w:b/>
              </w:rPr>
            </w:pPr>
          </w:p>
        </w:tc>
        <w:tc>
          <w:tcPr>
            <w:tcW w:w="7249" w:type="dxa"/>
            <w:shd w:val="clear" w:color="auto" w:fill="B8CCE4" w:themeFill="accent1" w:themeFillTint="66"/>
          </w:tcPr>
          <w:p w14:paraId="52FB9EF5" w14:textId="77777777" w:rsidR="001C1926" w:rsidRDefault="001C1926" w:rsidP="001C1926">
            <w:pPr>
              <w:jc w:val="center"/>
              <w:rPr>
                <w:rFonts w:ascii="Times New Roman" w:hAnsi="Times New Roman"/>
                <w:b/>
              </w:rPr>
            </w:pPr>
            <w:r>
              <w:rPr>
                <w:rFonts w:ascii="Times New Roman" w:hAnsi="Times New Roman"/>
                <w:b/>
              </w:rPr>
              <w:t>CONSTRUCTION CRITERIA</w:t>
            </w:r>
          </w:p>
          <w:p w14:paraId="40256B49" w14:textId="3B7001A3" w:rsidR="004D0D2E" w:rsidRPr="004113A4" w:rsidRDefault="004D0D2E" w:rsidP="001C1926">
            <w:pPr>
              <w:jc w:val="center"/>
              <w:rPr>
                <w:rFonts w:ascii="Times New Roman" w:hAnsi="Times New Roman"/>
                <w:b/>
              </w:rPr>
            </w:pPr>
          </w:p>
        </w:tc>
      </w:tr>
      <w:tr w:rsidR="001C1926" w:rsidRPr="0040273E" w14:paraId="15F57F1F" w14:textId="77777777" w:rsidTr="001C1926">
        <w:tc>
          <w:tcPr>
            <w:tcW w:w="720" w:type="dxa"/>
            <w:vAlign w:val="center"/>
          </w:tcPr>
          <w:p w14:paraId="451A655C" w14:textId="77777777" w:rsidR="001C1926" w:rsidRPr="0040273E" w:rsidRDefault="001C1926" w:rsidP="00AA2FC3">
            <w:pPr>
              <w:jc w:val="center"/>
              <w:rPr>
                <w:rFonts w:ascii="Times New Roman" w:hAnsi="Times New Roman"/>
                <w:b/>
              </w:rPr>
            </w:pPr>
          </w:p>
        </w:tc>
        <w:tc>
          <w:tcPr>
            <w:tcW w:w="720" w:type="dxa"/>
          </w:tcPr>
          <w:p w14:paraId="7CEAFC1B" w14:textId="77777777" w:rsidR="001C1926" w:rsidRPr="00FE0E2B" w:rsidRDefault="001C1926" w:rsidP="00AA2FC3">
            <w:pPr>
              <w:pStyle w:val="PlainText"/>
              <w:jc w:val="center"/>
              <w:rPr>
                <w:rFonts w:ascii="Times New Roman" w:hAnsi="Times New Roman"/>
                <w:b/>
                <w:sz w:val="24"/>
                <w:szCs w:val="24"/>
              </w:rPr>
            </w:pPr>
          </w:p>
        </w:tc>
        <w:tc>
          <w:tcPr>
            <w:tcW w:w="7249" w:type="dxa"/>
          </w:tcPr>
          <w:p w14:paraId="005D4A3C" w14:textId="43A827E3" w:rsidR="001C1926" w:rsidRPr="004D0D2E" w:rsidRDefault="001C1926" w:rsidP="00AA2FC3">
            <w:pPr>
              <w:rPr>
                <w:rFonts w:ascii="Times New Roman" w:hAnsi="Times New Roman"/>
              </w:rPr>
            </w:pPr>
            <w:r w:rsidRPr="004D0D2E">
              <w:rPr>
                <w:rFonts w:ascii="Times New Roman" w:hAnsi="Times New Roman"/>
              </w:rPr>
              <w:t>The dispersion area is clearly identified (e.g., using flagging or high visibility fencing) and protected prior to construction.</w:t>
            </w:r>
          </w:p>
        </w:tc>
      </w:tr>
      <w:tr w:rsidR="001C1926" w:rsidRPr="0040273E" w14:paraId="2E6631D4" w14:textId="77777777" w:rsidTr="001C1926">
        <w:tc>
          <w:tcPr>
            <w:tcW w:w="720" w:type="dxa"/>
            <w:vAlign w:val="center"/>
          </w:tcPr>
          <w:p w14:paraId="409CA69D" w14:textId="77777777" w:rsidR="001C1926" w:rsidRPr="0040273E" w:rsidRDefault="001C1926" w:rsidP="00AA2FC3">
            <w:pPr>
              <w:jc w:val="center"/>
              <w:rPr>
                <w:rFonts w:ascii="Times New Roman" w:hAnsi="Times New Roman"/>
                <w:b/>
              </w:rPr>
            </w:pPr>
          </w:p>
        </w:tc>
        <w:tc>
          <w:tcPr>
            <w:tcW w:w="720" w:type="dxa"/>
          </w:tcPr>
          <w:p w14:paraId="0A031A54" w14:textId="77777777" w:rsidR="001C1926" w:rsidRPr="00FE0E2B" w:rsidRDefault="001C1926" w:rsidP="00AA2FC3">
            <w:pPr>
              <w:jc w:val="center"/>
              <w:rPr>
                <w:rFonts w:ascii="Times New Roman" w:hAnsi="Times New Roman"/>
                <w:b/>
              </w:rPr>
            </w:pPr>
          </w:p>
        </w:tc>
        <w:tc>
          <w:tcPr>
            <w:tcW w:w="7249" w:type="dxa"/>
          </w:tcPr>
          <w:p w14:paraId="1A0E3724" w14:textId="11FEC85C" w:rsidR="001C1926" w:rsidRPr="004D0D2E" w:rsidRDefault="001C1926" w:rsidP="00AA2FC3">
            <w:pPr>
              <w:rPr>
                <w:rFonts w:ascii="Times New Roman" w:hAnsi="Times New Roman"/>
              </w:rPr>
            </w:pPr>
            <w:r w:rsidRPr="004D0D2E">
              <w:rPr>
                <w:rFonts w:ascii="Times New Roman" w:hAnsi="Times New Roman"/>
              </w:rPr>
              <w:t xml:space="preserve">A soil and vegetation management plan is provided showing areas to be protected and restoration methods for disturbed areas. </w:t>
            </w:r>
          </w:p>
        </w:tc>
      </w:tr>
      <w:tr w:rsidR="001C1926" w:rsidRPr="0040273E" w14:paraId="621DEDBE" w14:textId="2FFF9853" w:rsidTr="001C1926">
        <w:tc>
          <w:tcPr>
            <w:tcW w:w="720" w:type="dxa"/>
            <w:vAlign w:val="center"/>
          </w:tcPr>
          <w:p w14:paraId="047AD933" w14:textId="5B27C95B" w:rsidR="001C1926" w:rsidRPr="0040273E" w:rsidRDefault="001C1926" w:rsidP="00AA2FC3">
            <w:pPr>
              <w:jc w:val="center"/>
              <w:rPr>
                <w:rFonts w:ascii="Times New Roman" w:hAnsi="Times New Roman"/>
                <w:b/>
              </w:rPr>
            </w:pPr>
          </w:p>
        </w:tc>
        <w:tc>
          <w:tcPr>
            <w:tcW w:w="720" w:type="dxa"/>
          </w:tcPr>
          <w:p w14:paraId="3EE88752" w14:textId="20648233" w:rsidR="001C1926" w:rsidRPr="00FE0E2B" w:rsidRDefault="001C1926" w:rsidP="00AA2FC3">
            <w:pPr>
              <w:jc w:val="center"/>
              <w:rPr>
                <w:rFonts w:ascii="Times New Roman" w:hAnsi="Times New Roman"/>
                <w:b/>
              </w:rPr>
            </w:pPr>
          </w:p>
        </w:tc>
        <w:tc>
          <w:tcPr>
            <w:tcW w:w="7249" w:type="dxa"/>
          </w:tcPr>
          <w:p w14:paraId="121C48B4" w14:textId="7BBA2A8F" w:rsidR="001C1926" w:rsidRPr="004D0D2E" w:rsidRDefault="001C1926" w:rsidP="00AA2FC3">
            <w:pPr>
              <w:rPr>
                <w:rFonts w:ascii="Times New Roman" w:hAnsi="Times New Roman"/>
              </w:rPr>
            </w:pPr>
            <w:r w:rsidRPr="004D0D2E">
              <w:rPr>
                <w:rFonts w:ascii="Times New Roman" w:hAnsi="Times New Roman"/>
              </w:rPr>
              <w:t xml:space="preserve">Construction SWPPP sheets outline construction sequencing that will protect the dispersion area during construction. </w:t>
            </w:r>
          </w:p>
        </w:tc>
      </w:tr>
      <w:tr w:rsidR="001C1926" w:rsidRPr="0040273E" w14:paraId="0CCFD378" w14:textId="77777777" w:rsidTr="001C1926">
        <w:tc>
          <w:tcPr>
            <w:tcW w:w="720" w:type="dxa"/>
            <w:vAlign w:val="center"/>
          </w:tcPr>
          <w:p w14:paraId="105BE8E2" w14:textId="77777777" w:rsidR="001C1926" w:rsidRPr="0040273E" w:rsidRDefault="001C1926" w:rsidP="00AA2FC3">
            <w:pPr>
              <w:jc w:val="center"/>
              <w:rPr>
                <w:rFonts w:ascii="Times New Roman" w:hAnsi="Times New Roman"/>
                <w:b/>
              </w:rPr>
            </w:pPr>
          </w:p>
        </w:tc>
        <w:tc>
          <w:tcPr>
            <w:tcW w:w="720" w:type="dxa"/>
          </w:tcPr>
          <w:p w14:paraId="7540247B" w14:textId="77777777" w:rsidR="001C1926" w:rsidRPr="00FE0E2B" w:rsidRDefault="001C1926" w:rsidP="00AA2FC3">
            <w:pPr>
              <w:jc w:val="center"/>
              <w:rPr>
                <w:rFonts w:ascii="Times New Roman" w:hAnsi="Times New Roman"/>
                <w:b/>
                <w:spacing w:val="-2"/>
              </w:rPr>
            </w:pPr>
          </w:p>
        </w:tc>
        <w:tc>
          <w:tcPr>
            <w:tcW w:w="7249" w:type="dxa"/>
          </w:tcPr>
          <w:p w14:paraId="2EABB873" w14:textId="5A2107C6" w:rsidR="001C1926" w:rsidRPr="004D0D2E" w:rsidRDefault="001C1926" w:rsidP="00AA2FC3">
            <w:pPr>
              <w:rPr>
                <w:rFonts w:ascii="Times New Roman" w:hAnsi="Times New Roman"/>
              </w:rPr>
            </w:pPr>
            <w:r w:rsidRPr="004D0D2E">
              <w:rPr>
                <w:rFonts w:ascii="Times New Roman" w:hAnsi="Times New Roman"/>
              </w:rPr>
              <w:t>Construction SWPPP BMPs and protection techniques are implemented as applicable. The upslope of construction areas are stabilized and overland flow distances are minimized.</w:t>
            </w:r>
          </w:p>
        </w:tc>
      </w:tr>
      <w:tr w:rsidR="001C1926" w:rsidRPr="0040273E" w14:paraId="3F32CCDE" w14:textId="15CFBAF0" w:rsidTr="001C1926">
        <w:trPr>
          <w:trHeight w:val="323"/>
        </w:trPr>
        <w:tc>
          <w:tcPr>
            <w:tcW w:w="720" w:type="dxa"/>
            <w:vAlign w:val="center"/>
          </w:tcPr>
          <w:p w14:paraId="0A57C5B6" w14:textId="4B8D481A" w:rsidR="001C1926" w:rsidRPr="0040273E" w:rsidRDefault="001C1926" w:rsidP="00AA2FC3">
            <w:pPr>
              <w:jc w:val="center"/>
              <w:rPr>
                <w:rFonts w:ascii="Times New Roman" w:hAnsi="Times New Roman"/>
                <w:b/>
              </w:rPr>
            </w:pPr>
          </w:p>
        </w:tc>
        <w:tc>
          <w:tcPr>
            <w:tcW w:w="720" w:type="dxa"/>
          </w:tcPr>
          <w:p w14:paraId="63153048" w14:textId="0613E7BD" w:rsidR="001C1926" w:rsidRPr="001D2BE8" w:rsidRDefault="001C1926" w:rsidP="00AA2FC3">
            <w:pPr>
              <w:jc w:val="center"/>
              <w:rPr>
                <w:rFonts w:ascii="Times New Roman" w:hAnsi="Times New Roman"/>
                <w:b/>
              </w:rPr>
            </w:pPr>
          </w:p>
        </w:tc>
        <w:tc>
          <w:tcPr>
            <w:tcW w:w="7249" w:type="dxa"/>
          </w:tcPr>
          <w:p w14:paraId="4FF68400" w14:textId="27196F4E" w:rsidR="001C1926" w:rsidRPr="004D0D2E" w:rsidRDefault="001C1926" w:rsidP="00AA2FC3">
            <w:pPr>
              <w:rPr>
                <w:rFonts w:ascii="Times New Roman" w:hAnsi="Times New Roman"/>
                <w:b/>
              </w:rPr>
            </w:pPr>
            <w:r w:rsidRPr="004D0D2E">
              <w:rPr>
                <w:rFonts w:ascii="Times New Roman" w:hAnsi="Times New Roman"/>
              </w:rPr>
              <w:t>Operate machinery outside of dispersion area during construction.</w:t>
            </w:r>
          </w:p>
        </w:tc>
      </w:tr>
      <w:tr w:rsidR="001C1926" w:rsidRPr="00BE0372" w14:paraId="007F0345" w14:textId="4BED8D34" w:rsidTr="001C1926">
        <w:trPr>
          <w:trHeight w:val="323"/>
        </w:trPr>
        <w:tc>
          <w:tcPr>
            <w:tcW w:w="720" w:type="dxa"/>
            <w:vAlign w:val="center"/>
          </w:tcPr>
          <w:p w14:paraId="2385851B" w14:textId="3844334B" w:rsidR="001C1926" w:rsidRPr="00BE0372" w:rsidRDefault="001C1926" w:rsidP="00AA2FC3">
            <w:pPr>
              <w:rPr>
                <w:rFonts w:ascii="Times New Roman" w:hAnsi="Times New Roman"/>
              </w:rPr>
            </w:pPr>
          </w:p>
        </w:tc>
        <w:tc>
          <w:tcPr>
            <w:tcW w:w="720" w:type="dxa"/>
          </w:tcPr>
          <w:p w14:paraId="39B6D9A4" w14:textId="2B7094F2" w:rsidR="001C1926" w:rsidRPr="00BE0372" w:rsidRDefault="001C1926" w:rsidP="00AA2FC3">
            <w:pPr>
              <w:rPr>
                <w:rFonts w:ascii="Times New Roman" w:hAnsi="Times New Roman"/>
              </w:rPr>
            </w:pPr>
          </w:p>
        </w:tc>
        <w:tc>
          <w:tcPr>
            <w:tcW w:w="7249" w:type="dxa"/>
          </w:tcPr>
          <w:p w14:paraId="21D4EC6E" w14:textId="782238D2" w:rsidR="001C1926" w:rsidRPr="004D0D2E" w:rsidRDefault="001C1926" w:rsidP="00AA2FC3">
            <w:pPr>
              <w:rPr>
                <w:rFonts w:ascii="Times New Roman" w:hAnsi="Times New Roman"/>
              </w:rPr>
            </w:pPr>
            <w:r w:rsidRPr="004D0D2E">
              <w:rPr>
                <w:rFonts w:ascii="Times New Roman" w:hAnsi="Times New Roman"/>
              </w:rPr>
              <w:t>Excavate dispersion area to final grade only after all disturbed areas in the upgradient project drainage area have been permanently stabilized.</w:t>
            </w:r>
          </w:p>
        </w:tc>
      </w:tr>
      <w:tr w:rsidR="001C1926" w:rsidRPr="00BE0372" w14:paraId="53C90A8A" w14:textId="77777777" w:rsidTr="001C1926">
        <w:tc>
          <w:tcPr>
            <w:tcW w:w="720" w:type="dxa"/>
            <w:shd w:val="clear" w:color="auto" w:fill="auto"/>
            <w:vAlign w:val="center"/>
          </w:tcPr>
          <w:p w14:paraId="5FECE6F5" w14:textId="77777777" w:rsidR="001C1926" w:rsidRPr="00BE0372" w:rsidRDefault="001C1926" w:rsidP="00AA2FC3">
            <w:pPr>
              <w:rPr>
                <w:rFonts w:ascii="Times New Roman" w:hAnsi="Times New Roman"/>
              </w:rPr>
            </w:pPr>
          </w:p>
        </w:tc>
        <w:tc>
          <w:tcPr>
            <w:tcW w:w="720" w:type="dxa"/>
            <w:shd w:val="clear" w:color="auto" w:fill="auto"/>
          </w:tcPr>
          <w:p w14:paraId="1E653254" w14:textId="77777777" w:rsidR="001C1926" w:rsidRPr="00BE0372" w:rsidRDefault="001C1926" w:rsidP="00AA2FC3">
            <w:pPr>
              <w:rPr>
                <w:rFonts w:ascii="Times New Roman" w:hAnsi="Times New Roman"/>
              </w:rPr>
            </w:pPr>
          </w:p>
        </w:tc>
        <w:tc>
          <w:tcPr>
            <w:tcW w:w="7249" w:type="dxa"/>
            <w:shd w:val="clear" w:color="auto" w:fill="auto"/>
          </w:tcPr>
          <w:p w14:paraId="15AAC80B" w14:textId="522F0867" w:rsidR="001C1926" w:rsidRPr="004D0D2E" w:rsidRDefault="001C1926" w:rsidP="00AA2FC3">
            <w:pPr>
              <w:rPr>
                <w:rFonts w:ascii="Times New Roman" w:hAnsi="Times New Roman"/>
              </w:rPr>
            </w:pPr>
            <w:r w:rsidRPr="004D0D2E">
              <w:rPr>
                <w:rFonts w:ascii="Times New Roman" w:hAnsi="Times New Roman"/>
              </w:rPr>
              <w:t xml:space="preserve">The dispersion </w:t>
            </w:r>
            <w:r w:rsidR="0095547C" w:rsidRPr="004D0D2E">
              <w:rPr>
                <w:rFonts w:ascii="Times New Roman" w:hAnsi="Times New Roman"/>
              </w:rPr>
              <w:t>flow path</w:t>
            </w:r>
            <w:r w:rsidRPr="004D0D2E">
              <w:rPr>
                <w:rFonts w:ascii="Times New Roman" w:hAnsi="Times New Roman"/>
              </w:rPr>
              <w:t xml:space="preserve"> is protected from sedimentation and compaction during construction.</w:t>
            </w:r>
          </w:p>
        </w:tc>
      </w:tr>
      <w:tr w:rsidR="001C1926" w:rsidRPr="00BE0372" w14:paraId="0A7EED17" w14:textId="77777777" w:rsidTr="001C1926">
        <w:tc>
          <w:tcPr>
            <w:tcW w:w="720" w:type="dxa"/>
            <w:shd w:val="clear" w:color="auto" w:fill="auto"/>
            <w:vAlign w:val="center"/>
          </w:tcPr>
          <w:p w14:paraId="6B383B8A" w14:textId="77777777" w:rsidR="001C1926" w:rsidRPr="00BE0372" w:rsidRDefault="001C1926" w:rsidP="00AA2FC3">
            <w:pPr>
              <w:rPr>
                <w:rFonts w:ascii="Times New Roman" w:hAnsi="Times New Roman"/>
              </w:rPr>
            </w:pPr>
          </w:p>
        </w:tc>
        <w:tc>
          <w:tcPr>
            <w:tcW w:w="720" w:type="dxa"/>
            <w:shd w:val="clear" w:color="auto" w:fill="auto"/>
          </w:tcPr>
          <w:p w14:paraId="67510222" w14:textId="77777777" w:rsidR="001C1926" w:rsidRPr="00BE0372" w:rsidRDefault="001C1926" w:rsidP="00AA2FC3">
            <w:pPr>
              <w:rPr>
                <w:rFonts w:ascii="Times New Roman" w:hAnsi="Times New Roman"/>
              </w:rPr>
            </w:pPr>
          </w:p>
        </w:tc>
        <w:tc>
          <w:tcPr>
            <w:tcW w:w="7249" w:type="dxa"/>
            <w:shd w:val="clear" w:color="auto" w:fill="auto"/>
          </w:tcPr>
          <w:p w14:paraId="29CBCCDC" w14:textId="3329F992" w:rsidR="001C1926" w:rsidRPr="004D0D2E" w:rsidRDefault="001C1926" w:rsidP="00AA2FC3">
            <w:pPr>
              <w:rPr>
                <w:rFonts w:ascii="Times New Roman" w:hAnsi="Times New Roman"/>
                <w:highlight w:val="yellow"/>
              </w:rPr>
            </w:pPr>
            <w:r w:rsidRPr="002E62A4">
              <w:rPr>
                <w:rFonts w:ascii="Times New Roman" w:hAnsi="Times New Roman"/>
              </w:rPr>
              <w:t xml:space="preserve">If the </w:t>
            </w:r>
            <w:r w:rsidR="0095547C" w:rsidRPr="002E62A4">
              <w:rPr>
                <w:rFonts w:ascii="Times New Roman" w:hAnsi="Times New Roman"/>
              </w:rPr>
              <w:t>flow path</w:t>
            </w:r>
            <w:r w:rsidRPr="002E62A4">
              <w:rPr>
                <w:rFonts w:ascii="Times New Roman" w:hAnsi="Times New Roman"/>
              </w:rPr>
              <w:t xml:space="preserve"> area is disturbed during construction, the area is restored to meet </w:t>
            </w:r>
            <w:r w:rsidR="002E62A4" w:rsidRPr="002E62A4">
              <w:rPr>
                <w:rFonts w:ascii="Times New Roman" w:hAnsi="Times New Roman"/>
              </w:rPr>
              <w:t>LID.02: Post-Construction Soil Quality and Depth in</w:t>
            </w:r>
            <w:r w:rsidRPr="002E62A4">
              <w:rPr>
                <w:rFonts w:ascii="Times New Roman" w:hAnsi="Times New Roman"/>
              </w:rPr>
              <w:t xml:space="preserve"> Volume </w:t>
            </w:r>
            <w:r w:rsidR="002E62A4" w:rsidRPr="002E62A4">
              <w:rPr>
                <w:rFonts w:ascii="Times New Roman" w:hAnsi="Times New Roman"/>
              </w:rPr>
              <w:t>V</w:t>
            </w:r>
            <w:r w:rsidRPr="002E62A4">
              <w:rPr>
                <w:rFonts w:ascii="Times New Roman" w:hAnsi="Times New Roman"/>
              </w:rPr>
              <w:t>, and a dense cover of lawn, landscape, or groundcover is established.</w:t>
            </w:r>
          </w:p>
        </w:tc>
      </w:tr>
      <w:tr w:rsidR="001C1926" w:rsidRPr="0040273E" w14:paraId="38F3F6EA" w14:textId="77777777" w:rsidTr="001C1926">
        <w:tc>
          <w:tcPr>
            <w:tcW w:w="720" w:type="dxa"/>
            <w:shd w:val="clear" w:color="auto" w:fill="B8CCE4" w:themeFill="accent1" w:themeFillTint="66"/>
            <w:vAlign w:val="center"/>
          </w:tcPr>
          <w:p w14:paraId="43BAE7B6" w14:textId="77777777" w:rsidR="001C1926" w:rsidRPr="0040273E" w:rsidRDefault="001C1926" w:rsidP="00AA2FC3">
            <w:pPr>
              <w:jc w:val="center"/>
              <w:rPr>
                <w:rFonts w:ascii="Times New Roman" w:hAnsi="Times New Roman"/>
                <w:b/>
              </w:rPr>
            </w:pPr>
          </w:p>
        </w:tc>
        <w:tc>
          <w:tcPr>
            <w:tcW w:w="720" w:type="dxa"/>
            <w:shd w:val="clear" w:color="auto" w:fill="B8CCE4" w:themeFill="accent1" w:themeFillTint="66"/>
          </w:tcPr>
          <w:p w14:paraId="36D83241" w14:textId="77777777" w:rsidR="001C1926" w:rsidRPr="001D2BE8" w:rsidRDefault="001C1926" w:rsidP="00AA2FC3">
            <w:pPr>
              <w:jc w:val="center"/>
              <w:rPr>
                <w:rFonts w:ascii="Times New Roman" w:hAnsi="Times New Roman"/>
                <w:b/>
              </w:rPr>
            </w:pPr>
          </w:p>
        </w:tc>
        <w:tc>
          <w:tcPr>
            <w:tcW w:w="7249" w:type="dxa"/>
            <w:shd w:val="clear" w:color="auto" w:fill="B8CCE4" w:themeFill="accent1" w:themeFillTint="66"/>
          </w:tcPr>
          <w:p w14:paraId="2744914E" w14:textId="77777777" w:rsidR="001C1926" w:rsidRDefault="001C1926" w:rsidP="00AA2FC3">
            <w:pPr>
              <w:jc w:val="center"/>
              <w:rPr>
                <w:rFonts w:ascii="Times New Roman" w:hAnsi="Times New Roman"/>
                <w:b/>
              </w:rPr>
            </w:pPr>
            <w:r>
              <w:rPr>
                <w:rFonts w:ascii="Times New Roman" w:hAnsi="Times New Roman"/>
                <w:b/>
              </w:rPr>
              <w:t>INSPECTION CRITERIA</w:t>
            </w:r>
          </w:p>
          <w:p w14:paraId="6E2267C6" w14:textId="1A0E078E" w:rsidR="004D0D2E" w:rsidRPr="00E37811" w:rsidRDefault="004D0D2E" w:rsidP="00AA2FC3">
            <w:pPr>
              <w:jc w:val="center"/>
              <w:rPr>
                <w:rFonts w:ascii="Times New Roman" w:hAnsi="Times New Roman"/>
                <w:b/>
              </w:rPr>
            </w:pPr>
          </w:p>
        </w:tc>
      </w:tr>
      <w:tr w:rsidR="001C1926" w:rsidRPr="0040273E" w14:paraId="21BD4561" w14:textId="77777777" w:rsidTr="001C1926">
        <w:tc>
          <w:tcPr>
            <w:tcW w:w="720" w:type="dxa"/>
            <w:vAlign w:val="center"/>
          </w:tcPr>
          <w:p w14:paraId="74A9D374" w14:textId="77777777" w:rsidR="001C1926" w:rsidRPr="0040273E" w:rsidRDefault="001C1926" w:rsidP="00AA2FC3">
            <w:pPr>
              <w:jc w:val="center"/>
              <w:rPr>
                <w:rFonts w:ascii="Times New Roman" w:hAnsi="Times New Roman"/>
                <w:b/>
              </w:rPr>
            </w:pPr>
          </w:p>
        </w:tc>
        <w:tc>
          <w:tcPr>
            <w:tcW w:w="720" w:type="dxa"/>
          </w:tcPr>
          <w:p w14:paraId="4438D569" w14:textId="77777777" w:rsidR="001C1926" w:rsidRPr="001D2BE8" w:rsidRDefault="001C1926" w:rsidP="00AA2FC3">
            <w:pPr>
              <w:jc w:val="center"/>
              <w:rPr>
                <w:rFonts w:ascii="Times New Roman" w:hAnsi="Times New Roman"/>
                <w:b/>
              </w:rPr>
            </w:pPr>
          </w:p>
        </w:tc>
        <w:tc>
          <w:tcPr>
            <w:tcW w:w="7249" w:type="dxa"/>
          </w:tcPr>
          <w:p w14:paraId="5B4C85FE" w14:textId="250B05C9" w:rsidR="001C1926" w:rsidRPr="0079317F" w:rsidRDefault="001C1926" w:rsidP="00AA2FC3">
            <w:pPr>
              <w:rPr>
                <w:rFonts w:ascii="Times New Roman" w:hAnsi="Times New Roman"/>
              </w:rPr>
            </w:pPr>
            <w:r w:rsidRPr="0079317F">
              <w:rPr>
                <w:rFonts w:ascii="Times New Roman" w:hAnsi="Times New Roman"/>
              </w:rPr>
              <w:t xml:space="preserve">The dispersion </w:t>
            </w:r>
            <w:r>
              <w:rPr>
                <w:rFonts w:ascii="Times New Roman" w:hAnsi="Times New Roman"/>
              </w:rPr>
              <w:t>facility</w:t>
            </w:r>
            <w:r w:rsidRPr="0079317F">
              <w:rPr>
                <w:rFonts w:ascii="Times New Roman" w:hAnsi="Times New Roman"/>
              </w:rPr>
              <w:t xml:space="preserve"> meets appl</w:t>
            </w:r>
            <w:r w:rsidRPr="00D73B59">
              <w:rPr>
                <w:rFonts w:ascii="Times New Roman" w:hAnsi="Times New Roman"/>
              </w:rPr>
              <w:t xml:space="preserve">icable design </w:t>
            </w:r>
            <w:r>
              <w:rPr>
                <w:rFonts w:ascii="Times New Roman" w:hAnsi="Times New Roman"/>
              </w:rPr>
              <w:t xml:space="preserve">and construction </w:t>
            </w:r>
            <w:r w:rsidRPr="00D73B59">
              <w:rPr>
                <w:rFonts w:ascii="Times New Roman" w:hAnsi="Times New Roman"/>
              </w:rPr>
              <w:t xml:space="preserve">criteria (see </w:t>
            </w:r>
            <w:r w:rsidRPr="0079317F">
              <w:rPr>
                <w:rFonts w:ascii="Times New Roman" w:hAnsi="Times New Roman"/>
              </w:rPr>
              <w:t>Design Criteria above)</w:t>
            </w:r>
            <w:r>
              <w:rPr>
                <w:rFonts w:ascii="Times New Roman" w:hAnsi="Times New Roman"/>
              </w:rPr>
              <w:t>.</w:t>
            </w:r>
          </w:p>
        </w:tc>
      </w:tr>
    </w:tbl>
    <w:p w14:paraId="19E90973" w14:textId="77777777" w:rsidR="00B66004" w:rsidRDefault="00B66004" w:rsidP="00B66004">
      <w:pPr>
        <w:rPr>
          <w:rFonts w:ascii="Times New Roman" w:hAnsi="Times New Roman"/>
        </w:rPr>
      </w:pPr>
    </w:p>
    <w:sectPr w:rsidR="00B66004" w:rsidSect="0040273E">
      <w:headerReference w:type="default" r:id="rId10"/>
      <w:footerReference w:type="default" r:id="rId11"/>
      <w:pgSz w:w="12240" w:h="15840"/>
      <w:pgMar w:top="1152" w:right="1440" w:bottom="864" w:left="158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4E082" w14:textId="77777777" w:rsidR="006A16E7" w:rsidRDefault="006A16E7" w:rsidP="00753267">
      <w:r>
        <w:separator/>
      </w:r>
    </w:p>
  </w:endnote>
  <w:endnote w:type="continuationSeparator" w:id="0">
    <w:p w14:paraId="7CB4EA27" w14:textId="77777777" w:rsidR="006A16E7" w:rsidRDefault="006A16E7"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0DE5CDC3" w:rsidR="001533EB" w:rsidRDefault="001533EB">
        <w:pPr>
          <w:pStyle w:val="Footer"/>
          <w:jc w:val="center"/>
        </w:pPr>
        <w:r>
          <w:fldChar w:fldCharType="begin"/>
        </w:r>
        <w:r>
          <w:instrText xml:space="preserve"> PAGE   \* MERGEFORMAT </w:instrText>
        </w:r>
        <w:r>
          <w:fldChar w:fldCharType="separate"/>
        </w:r>
        <w:r w:rsidR="0061081C">
          <w:rPr>
            <w:noProof/>
          </w:rPr>
          <w:t>2</w:t>
        </w:r>
        <w:r>
          <w:rPr>
            <w:noProof/>
          </w:rPr>
          <w:fldChar w:fldCharType="end"/>
        </w:r>
      </w:p>
    </w:sdtContent>
  </w:sdt>
  <w:p w14:paraId="23CD9F61" w14:textId="77777777" w:rsidR="001533EB" w:rsidRDefault="0015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7BF28" w14:textId="77777777" w:rsidR="006A16E7" w:rsidRDefault="006A16E7" w:rsidP="00753267">
      <w:r>
        <w:separator/>
      </w:r>
    </w:p>
  </w:footnote>
  <w:footnote w:type="continuationSeparator" w:id="0">
    <w:p w14:paraId="1DD4FA99" w14:textId="77777777" w:rsidR="006A16E7" w:rsidRDefault="006A16E7"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60C04" w14:textId="665652D1" w:rsidR="001C1926" w:rsidRPr="0040273E" w:rsidRDefault="001C1926" w:rsidP="001C1926">
    <w:pPr>
      <w:jc w:val="center"/>
      <w:rPr>
        <w:rFonts w:ascii="Times New Roman" w:hAnsi="Times New Roman"/>
        <w:b/>
        <w:sz w:val="32"/>
        <w:szCs w:val="32"/>
      </w:rPr>
    </w:pPr>
    <w:r>
      <w:rPr>
        <w:rFonts w:ascii="Times New Roman" w:hAnsi="Times New Roman"/>
        <w:sz w:val="20"/>
      </w:rPr>
      <w:tab/>
    </w:r>
    <w:r w:rsidRPr="001C1926">
      <w:rPr>
        <w:rFonts w:ascii="Times New Roman" w:hAnsi="Times New Roman"/>
        <w:b/>
        <w:sz w:val="32"/>
        <w:szCs w:val="32"/>
      </w:rPr>
      <w:t>C</w:t>
    </w:r>
    <w:r>
      <w:rPr>
        <w:rFonts w:ascii="Times New Roman" w:hAnsi="Times New Roman"/>
        <w:b/>
        <w:sz w:val="32"/>
        <w:szCs w:val="32"/>
      </w:rPr>
      <w:t>hecklist L</w:t>
    </w:r>
    <w:r w:rsidRPr="001C1926">
      <w:rPr>
        <w:rFonts w:ascii="Times New Roman" w:hAnsi="Times New Roman"/>
        <w:b/>
        <w:sz w:val="32"/>
        <w:szCs w:val="32"/>
      </w:rPr>
      <w:t>ID.06 Sheet Flow Dispersion</w:t>
    </w:r>
    <w:r>
      <w:rPr>
        <w:rFonts w:ascii="Times New Roman" w:hAnsi="Times New Roman"/>
        <w:b/>
        <w:sz w:val="32"/>
        <w:szCs w:val="32"/>
      </w:rPr>
      <w:t xml:space="preserve"> </w:t>
    </w:r>
  </w:p>
  <w:p w14:paraId="2644C519" w14:textId="18DC8B9B" w:rsidR="001533EB" w:rsidRPr="001A2482" w:rsidRDefault="001533EB" w:rsidP="001C1926">
    <w:pPr>
      <w:tabs>
        <w:tab w:val="left" w:pos="3120"/>
        <w:tab w:val="right" w:pos="9900"/>
      </w:tabs>
      <w:spacing w:before="100" w:beforeAutospacing="1" w:after="100" w:afterAutospacing="1"/>
      <w:contextualSpacing/>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2"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3"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50BC"/>
    <w:multiLevelType w:val="hybridMultilevel"/>
    <w:tmpl w:val="DF4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C1BEA"/>
    <w:multiLevelType w:val="hybridMultilevel"/>
    <w:tmpl w:val="2AD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34607"/>
    <w:multiLevelType w:val="hybridMultilevel"/>
    <w:tmpl w:val="7D768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81284"/>
    <w:multiLevelType w:val="hybridMultilevel"/>
    <w:tmpl w:val="296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5E66E6"/>
    <w:multiLevelType w:val="hybridMultilevel"/>
    <w:tmpl w:val="A61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A25335"/>
    <w:multiLevelType w:val="hybridMultilevel"/>
    <w:tmpl w:val="A0D21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13"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11"/>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2"/>
  </w:num>
  <w:num w:numId="10">
    <w:abstractNumId w:val="9"/>
  </w:num>
  <w:num w:numId="11">
    <w:abstractNumId w:val="4"/>
  </w:num>
  <w:num w:numId="12">
    <w:abstractNumId w:val="5"/>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14337">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10A7C"/>
    <w:rsid w:val="00016E56"/>
    <w:rsid w:val="00021A38"/>
    <w:rsid w:val="00027190"/>
    <w:rsid w:val="00027C0A"/>
    <w:rsid w:val="00033EBD"/>
    <w:rsid w:val="00053828"/>
    <w:rsid w:val="000618F3"/>
    <w:rsid w:val="00066410"/>
    <w:rsid w:val="000674A1"/>
    <w:rsid w:val="00077052"/>
    <w:rsid w:val="00077152"/>
    <w:rsid w:val="0008393A"/>
    <w:rsid w:val="00087DFF"/>
    <w:rsid w:val="000927D4"/>
    <w:rsid w:val="00095BA1"/>
    <w:rsid w:val="0009634E"/>
    <w:rsid w:val="0009712A"/>
    <w:rsid w:val="000A0269"/>
    <w:rsid w:val="000A2778"/>
    <w:rsid w:val="000A33B9"/>
    <w:rsid w:val="000D1C7C"/>
    <w:rsid w:val="000D1D6A"/>
    <w:rsid w:val="000E2CBA"/>
    <w:rsid w:val="000E407F"/>
    <w:rsid w:val="000E6EA9"/>
    <w:rsid w:val="000F28FA"/>
    <w:rsid w:val="000F5C1B"/>
    <w:rsid w:val="000F6B52"/>
    <w:rsid w:val="001239CB"/>
    <w:rsid w:val="00124BDC"/>
    <w:rsid w:val="00127A6F"/>
    <w:rsid w:val="001317C8"/>
    <w:rsid w:val="001358AA"/>
    <w:rsid w:val="001377FC"/>
    <w:rsid w:val="0015139F"/>
    <w:rsid w:val="001533EB"/>
    <w:rsid w:val="00156703"/>
    <w:rsid w:val="001606D9"/>
    <w:rsid w:val="00171C34"/>
    <w:rsid w:val="00176E9E"/>
    <w:rsid w:val="001843A6"/>
    <w:rsid w:val="00194498"/>
    <w:rsid w:val="00195244"/>
    <w:rsid w:val="001A1538"/>
    <w:rsid w:val="001A1D88"/>
    <w:rsid w:val="001A2482"/>
    <w:rsid w:val="001A4452"/>
    <w:rsid w:val="001A7EA3"/>
    <w:rsid w:val="001B061D"/>
    <w:rsid w:val="001B664C"/>
    <w:rsid w:val="001C11A0"/>
    <w:rsid w:val="001C1926"/>
    <w:rsid w:val="001C7A4D"/>
    <w:rsid w:val="001D06CC"/>
    <w:rsid w:val="001D1BE4"/>
    <w:rsid w:val="001D23AC"/>
    <w:rsid w:val="001D2BE8"/>
    <w:rsid w:val="001D473D"/>
    <w:rsid w:val="001F4EBB"/>
    <w:rsid w:val="00202BDA"/>
    <w:rsid w:val="002101DB"/>
    <w:rsid w:val="0021277D"/>
    <w:rsid w:val="00226495"/>
    <w:rsid w:val="00231EBA"/>
    <w:rsid w:val="00232C71"/>
    <w:rsid w:val="00236D89"/>
    <w:rsid w:val="00240495"/>
    <w:rsid w:val="00265FE4"/>
    <w:rsid w:val="00272B65"/>
    <w:rsid w:val="00275FAF"/>
    <w:rsid w:val="00277D05"/>
    <w:rsid w:val="002812DC"/>
    <w:rsid w:val="00293C08"/>
    <w:rsid w:val="00294C4C"/>
    <w:rsid w:val="002974FE"/>
    <w:rsid w:val="002A3C27"/>
    <w:rsid w:val="002A4CD5"/>
    <w:rsid w:val="002A4DEA"/>
    <w:rsid w:val="002A5415"/>
    <w:rsid w:val="002A6C26"/>
    <w:rsid w:val="002B474F"/>
    <w:rsid w:val="002B476E"/>
    <w:rsid w:val="002C0404"/>
    <w:rsid w:val="002C1A23"/>
    <w:rsid w:val="002D05B4"/>
    <w:rsid w:val="002D47A5"/>
    <w:rsid w:val="002E62A4"/>
    <w:rsid w:val="002F582B"/>
    <w:rsid w:val="00310592"/>
    <w:rsid w:val="003135C6"/>
    <w:rsid w:val="00330DEA"/>
    <w:rsid w:val="00333425"/>
    <w:rsid w:val="00334ECC"/>
    <w:rsid w:val="0034263E"/>
    <w:rsid w:val="00354EE6"/>
    <w:rsid w:val="00355F1B"/>
    <w:rsid w:val="0035749E"/>
    <w:rsid w:val="00382C64"/>
    <w:rsid w:val="003839A3"/>
    <w:rsid w:val="00385BD9"/>
    <w:rsid w:val="003907B9"/>
    <w:rsid w:val="003972EC"/>
    <w:rsid w:val="00397F14"/>
    <w:rsid w:val="003A1D65"/>
    <w:rsid w:val="003A2ACC"/>
    <w:rsid w:val="003B5817"/>
    <w:rsid w:val="003C1377"/>
    <w:rsid w:val="003C551E"/>
    <w:rsid w:val="003E6C1E"/>
    <w:rsid w:val="003E7B51"/>
    <w:rsid w:val="0040120C"/>
    <w:rsid w:val="0040273E"/>
    <w:rsid w:val="004113A4"/>
    <w:rsid w:val="00412F39"/>
    <w:rsid w:val="00421130"/>
    <w:rsid w:val="00422E9C"/>
    <w:rsid w:val="00424368"/>
    <w:rsid w:val="00430048"/>
    <w:rsid w:val="00442BB6"/>
    <w:rsid w:val="00450966"/>
    <w:rsid w:val="00451739"/>
    <w:rsid w:val="004535F6"/>
    <w:rsid w:val="00460CAC"/>
    <w:rsid w:val="004758AC"/>
    <w:rsid w:val="004854AF"/>
    <w:rsid w:val="00485F73"/>
    <w:rsid w:val="0049106E"/>
    <w:rsid w:val="004954D5"/>
    <w:rsid w:val="004B5D04"/>
    <w:rsid w:val="004C38AC"/>
    <w:rsid w:val="004D0D2E"/>
    <w:rsid w:val="004D19C8"/>
    <w:rsid w:val="004D5174"/>
    <w:rsid w:val="004D7187"/>
    <w:rsid w:val="004F213A"/>
    <w:rsid w:val="004F3F6C"/>
    <w:rsid w:val="0050510B"/>
    <w:rsid w:val="005052C3"/>
    <w:rsid w:val="00512017"/>
    <w:rsid w:val="00512450"/>
    <w:rsid w:val="00515F25"/>
    <w:rsid w:val="00525237"/>
    <w:rsid w:val="0052660B"/>
    <w:rsid w:val="005410E7"/>
    <w:rsid w:val="00551683"/>
    <w:rsid w:val="0056433D"/>
    <w:rsid w:val="005719A7"/>
    <w:rsid w:val="0057392B"/>
    <w:rsid w:val="00574CB5"/>
    <w:rsid w:val="005775B7"/>
    <w:rsid w:val="005855F9"/>
    <w:rsid w:val="00586F12"/>
    <w:rsid w:val="0058796C"/>
    <w:rsid w:val="00592ACB"/>
    <w:rsid w:val="005A3708"/>
    <w:rsid w:val="005A7D7B"/>
    <w:rsid w:val="005B47C5"/>
    <w:rsid w:val="005C0DB6"/>
    <w:rsid w:val="005C794D"/>
    <w:rsid w:val="005D0D80"/>
    <w:rsid w:val="005D0DF2"/>
    <w:rsid w:val="005D1BB1"/>
    <w:rsid w:val="005E3C5F"/>
    <w:rsid w:val="005F1D59"/>
    <w:rsid w:val="006105C5"/>
    <w:rsid w:val="0061081C"/>
    <w:rsid w:val="00613FEF"/>
    <w:rsid w:val="00624599"/>
    <w:rsid w:val="006306E0"/>
    <w:rsid w:val="00642269"/>
    <w:rsid w:val="006511C0"/>
    <w:rsid w:val="00652C1A"/>
    <w:rsid w:val="006542AF"/>
    <w:rsid w:val="00656FFC"/>
    <w:rsid w:val="0067120D"/>
    <w:rsid w:val="00673EAF"/>
    <w:rsid w:val="006848B7"/>
    <w:rsid w:val="00684906"/>
    <w:rsid w:val="006A16E7"/>
    <w:rsid w:val="006B6177"/>
    <w:rsid w:val="006C2D7B"/>
    <w:rsid w:val="006C2F75"/>
    <w:rsid w:val="006C6D45"/>
    <w:rsid w:val="006D4AA4"/>
    <w:rsid w:val="006D5819"/>
    <w:rsid w:val="006E0AE9"/>
    <w:rsid w:val="006E43AE"/>
    <w:rsid w:val="006F65BA"/>
    <w:rsid w:val="00716F6F"/>
    <w:rsid w:val="007309AF"/>
    <w:rsid w:val="00740F5F"/>
    <w:rsid w:val="00745C50"/>
    <w:rsid w:val="00751483"/>
    <w:rsid w:val="007519D9"/>
    <w:rsid w:val="00753267"/>
    <w:rsid w:val="007534B8"/>
    <w:rsid w:val="00756B7D"/>
    <w:rsid w:val="0075769A"/>
    <w:rsid w:val="00761052"/>
    <w:rsid w:val="0076324A"/>
    <w:rsid w:val="00792E4C"/>
    <w:rsid w:val="0079317F"/>
    <w:rsid w:val="007A241C"/>
    <w:rsid w:val="007B1D89"/>
    <w:rsid w:val="007B23C4"/>
    <w:rsid w:val="007C35E1"/>
    <w:rsid w:val="007D08E3"/>
    <w:rsid w:val="007E286F"/>
    <w:rsid w:val="0080476B"/>
    <w:rsid w:val="00857937"/>
    <w:rsid w:val="00874F3B"/>
    <w:rsid w:val="00891CA4"/>
    <w:rsid w:val="008963B6"/>
    <w:rsid w:val="008A5EDE"/>
    <w:rsid w:val="008C33D9"/>
    <w:rsid w:val="008C3983"/>
    <w:rsid w:val="008D71EF"/>
    <w:rsid w:val="008E03B2"/>
    <w:rsid w:val="008E47F4"/>
    <w:rsid w:val="00905A08"/>
    <w:rsid w:val="009103DC"/>
    <w:rsid w:val="009358D9"/>
    <w:rsid w:val="00950A84"/>
    <w:rsid w:val="0095157D"/>
    <w:rsid w:val="0095547C"/>
    <w:rsid w:val="0095752D"/>
    <w:rsid w:val="00965053"/>
    <w:rsid w:val="00974559"/>
    <w:rsid w:val="00981AE2"/>
    <w:rsid w:val="00983605"/>
    <w:rsid w:val="00994EF1"/>
    <w:rsid w:val="00995052"/>
    <w:rsid w:val="009A4773"/>
    <w:rsid w:val="009C5859"/>
    <w:rsid w:val="009D1FE7"/>
    <w:rsid w:val="009D2D29"/>
    <w:rsid w:val="009D7BE7"/>
    <w:rsid w:val="009E384B"/>
    <w:rsid w:val="009E7696"/>
    <w:rsid w:val="009F31B9"/>
    <w:rsid w:val="009F6AAC"/>
    <w:rsid w:val="00A02C16"/>
    <w:rsid w:val="00A1387B"/>
    <w:rsid w:val="00A156D8"/>
    <w:rsid w:val="00A27190"/>
    <w:rsid w:val="00A33C30"/>
    <w:rsid w:val="00A5191D"/>
    <w:rsid w:val="00A53AAF"/>
    <w:rsid w:val="00A624BA"/>
    <w:rsid w:val="00A6661A"/>
    <w:rsid w:val="00A773E0"/>
    <w:rsid w:val="00A77BF2"/>
    <w:rsid w:val="00A908AE"/>
    <w:rsid w:val="00A93EAA"/>
    <w:rsid w:val="00AA0321"/>
    <w:rsid w:val="00AA2FC3"/>
    <w:rsid w:val="00AA3D2F"/>
    <w:rsid w:val="00AB0EC7"/>
    <w:rsid w:val="00AB601C"/>
    <w:rsid w:val="00AD57B2"/>
    <w:rsid w:val="00AE24A2"/>
    <w:rsid w:val="00AE45B9"/>
    <w:rsid w:val="00AE7F4C"/>
    <w:rsid w:val="00AF0732"/>
    <w:rsid w:val="00AF7895"/>
    <w:rsid w:val="00B00ADD"/>
    <w:rsid w:val="00B06378"/>
    <w:rsid w:val="00B12131"/>
    <w:rsid w:val="00B13922"/>
    <w:rsid w:val="00B26AD8"/>
    <w:rsid w:val="00B36258"/>
    <w:rsid w:val="00B37A62"/>
    <w:rsid w:val="00B41323"/>
    <w:rsid w:val="00B53CED"/>
    <w:rsid w:val="00B56A76"/>
    <w:rsid w:val="00B64F3E"/>
    <w:rsid w:val="00B66004"/>
    <w:rsid w:val="00B66225"/>
    <w:rsid w:val="00B663D2"/>
    <w:rsid w:val="00B80320"/>
    <w:rsid w:val="00B82697"/>
    <w:rsid w:val="00B8497F"/>
    <w:rsid w:val="00BA02ED"/>
    <w:rsid w:val="00BC3006"/>
    <w:rsid w:val="00BC5770"/>
    <w:rsid w:val="00BD38D5"/>
    <w:rsid w:val="00C24DEB"/>
    <w:rsid w:val="00C31FA3"/>
    <w:rsid w:val="00C5121D"/>
    <w:rsid w:val="00C51495"/>
    <w:rsid w:val="00C53DD2"/>
    <w:rsid w:val="00C56A01"/>
    <w:rsid w:val="00C61543"/>
    <w:rsid w:val="00C63F0D"/>
    <w:rsid w:val="00C71697"/>
    <w:rsid w:val="00C74096"/>
    <w:rsid w:val="00C77C12"/>
    <w:rsid w:val="00C819FD"/>
    <w:rsid w:val="00C871D2"/>
    <w:rsid w:val="00C92059"/>
    <w:rsid w:val="00C932C1"/>
    <w:rsid w:val="00CA47DB"/>
    <w:rsid w:val="00CA5045"/>
    <w:rsid w:val="00CA782F"/>
    <w:rsid w:val="00CB1426"/>
    <w:rsid w:val="00CB2279"/>
    <w:rsid w:val="00CB330E"/>
    <w:rsid w:val="00CC08AB"/>
    <w:rsid w:val="00CC1EE4"/>
    <w:rsid w:val="00CC544C"/>
    <w:rsid w:val="00CC695F"/>
    <w:rsid w:val="00CE535A"/>
    <w:rsid w:val="00CE58B6"/>
    <w:rsid w:val="00CE68A6"/>
    <w:rsid w:val="00CF21CB"/>
    <w:rsid w:val="00CF4F3D"/>
    <w:rsid w:val="00CF740A"/>
    <w:rsid w:val="00D057F0"/>
    <w:rsid w:val="00D05F7E"/>
    <w:rsid w:val="00D12021"/>
    <w:rsid w:val="00D13273"/>
    <w:rsid w:val="00D22B49"/>
    <w:rsid w:val="00D41761"/>
    <w:rsid w:val="00D41FE9"/>
    <w:rsid w:val="00D532B8"/>
    <w:rsid w:val="00D53B82"/>
    <w:rsid w:val="00D56975"/>
    <w:rsid w:val="00D62696"/>
    <w:rsid w:val="00D62936"/>
    <w:rsid w:val="00D6309B"/>
    <w:rsid w:val="00D66C3F"/>
    <w:rsid w:val="00D73B59"/>
    <w:rsid w:val="00D74D2D"/>
    <w:rsid w:val="00D82895"/>
    <w:rsid w:val="00D85141"/>
    <w:rsid w:val="00D869E1"/>
    <w:rsid w:val="00D90198"/>
    <w:rsid w:val="00D93881"/>
    <w:rsid w:val="00D94CFE"/>
    <w:rsid w:val="00DA3595"/>
    <w:rsid w:val="00DC743B"/>
    <w:rsid w:val="00DD2974"/>
    <w:rsid w:val="00DD6448"/>
    <w:rsid w:val="00DD74EA"/>
    <w:rsid w:val="00DE3AFC"/>
    <w:rsid w:val="00DE3D28"/>
    <w:rsid w:val="00DE764D"/>
    <w:rsid w:val="00DF121E"/>
    <w:rsid w:val="00DF2BC3"/>
    <w:rsid w:val="00E0098D"/>
    <w:rsid w:val="00E17E56"/>
    <w:rsid w:val="00E37811"/>
    <w:rsid w:val="00E478A6"/>
    <w:rsid w:val="00E51ADE"/>
    <w:rsid w:val="00E51EB6"/>
    <w:rsid w:val="00E561B4"/>
    <w:rsid w:val="00E617E0"/>
    <w:rsid w:val="00E63338"/>
    <w:rsid w:val="00E644F3"/>
    <w:rsid w:val="00E71C20"/>
    <w:rsid w:val="00E75E4C"/>
    <w:rsid w:val="00E809D1"/>
    <w:rsid w:val="00E94F68"/>
    <w:rsid w:val="00EA3F34"/>
    <w:rsid w:val="00EA7A7B"/>
    <w:rsid w:val="00EB2548"/>
    <w:rsid w:val="00EC019B"/>
    <w:rsid w:val="00EC2049"/>
    <w:rsid w:val="00EC5843"/>
    <w:rsid w:val="00ED5BA6"/>
    <w:rsid w:val="00EE0EAC"/>
    <w:rsid w:val="00EE7D9F"/>
    <w:rsid w:val="00EF040A"/>
    <w:rsid w:val="00F12A1B"/>
    <w:rsid w:val="00F275C0"/>
    <w:rsid w:val="00F31511"/>
    <w:rsid w:val="00F347A6"/>
    <w:rsid w:val="00F37F08"/>
    <w:rsid w:val="00F43C52"/>
    <w:rsid w:val="00F53C61"/>
    <w:rsid w:val="00F64875"/>
    <w:rsid w:val="00F778F1"/>
    <w:rsid w:val="00F77F6F"/>
    <w:rsid w:val="00F838B6"/>
    <w:rsid w:val="00F8496B"/>
    <w:rsid w:val="00F9148F"/>
    <w:rsid w:val="00FA128A"/>
    <w:rsid w:val="00FA6C4B"/>
    <w:rsid w:val="00FB3BC5"/>
    <w:rsid w:val="00FB6503"/>
    <w:rsid w:val="00FC54AA"/>
    <w:rsid w:val="00FD0866"/>
    <w:rsid w:val="00FD7413"/>
    <w:rsid w:val="00FE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semiHidden/>
    <w:unhideWhenUsed/>
    <w:rsid w:val="00D41FE9"/>
    <w:rPr>
      <w:sz w:val="20"/>
    </w:rPr>
  </w:style>
  <w:style w:type="character" w:customStyle="1" w:styleId="CommentTextChar">
    <w:name w:val="Comment Text Char"/>
    <w:basedOn w:val="DefaultParagraphFont"/>
    <w:link w:val="CommentText"/>
    <w:uiPriority w:val="99"/>
    <w:semiHidden/>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6C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44FA6F-C134-4D13-81AF-0533122722D8}">
  <ds:schemaRefs>
    <ds:schemaRef ds:uri="http://schemas.microsoft.com/sharepoint/v3/contenttype/forms"/>
  </ds:schemaRefs>
</ds:datastoreItem>
</file>

<file path=customXml/itemProps2.xml><?xml version="1.0" encoding="utf-8"?>
<ds:datastoreItem xmlns:ds="http://schemas.openxmlformats.org/officeDocument/2006/customXml" ds:itemID="{3EBEFAB9-1646-4F3B-A70F-A5C0994BEF69}">
  <ds:schemaRef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24b8224c-5c6c-422f-9870-d7d19452eb64"/>
    <ds:schemaRef ds:uri="http://www.w3.org/XML/1998/namespace"/>
  </ds:schemaRefs>
</ds:datastoreItem>
</file>

<file path=customXml/itemProps3.xml><?xml version="1.0" encoding="utf-8"?>
<ds:datastoreItem xmlns:ds="http://schemas.openxmlformats.org/officeDocument/2006/customXml" ds:itemID="{F9D4EE98-2370-4E43-ABB7-60363868452E}"/>
</file>

<file path=docProps/app.xml><?xml version="1.0" encoding="utf-8"?>
<Properties xmlns="http://schemas.openxmlformats.org/officeDocument/2006/extended-properties" xmlns:vt="http://schemas.openxmlformats.org/officeDocument/2006/docPropsVTypes">
  <Template>Normal.dotm</Template>
  <TotalTime>115</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8</cp:revision>
  <cp:lastPrinted>2015-04-23T18:00:00Z</cp:lastPrinted>
  <dcterms:created xsi:type="dcterms:W3CDTF">2017-12-18T23:08:00Z</dcterms:created>
  <dcterms:modified xsi:type="dcterms:W3CDTF">2022-06-30T17:44:00Z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