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ED56" w14:textId="77777777" w:rsidR="0040273E" w:rsidRDefault="0040273E" w:rsidP="0040273E">
      <w:pPr>
        <w:rPr>
          <w:b/>
        </w:rPr>
      </w:pPr>
    </w:p>
    <w:p w14:paraId="0B4BAFDF" w14:textId="35912DA0"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FE0C75">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FE0C75" w:rsidRPr="00FE0C75">
        <w:rPr>
          <w:rFonts w:ascii="Times New Roman" w:hAnsi="Times New Roman"/>
          <w:spacing w:val="-2"/>
        </w:rPr>
        <w:t>Thurston County</w:t>
      </w:r>
      <w:r w:rsidRPr="00FC54AA">
        <w:rPr>
          <w:rFonts w:ascii="Times New Roman" w:hAnsi="Times New Roman"/>
          <w:spacing w:val="-2"/>
        </w:rPr>
        <w:t>.</w:t>
      </w:r>
      <w:r w:rsidR="00725AFD">
        <w:rPr>
          <w:rFonts w:ascii="Times New Roman" w:hAnsi="Times New Roman"/>
          <w:spacing w:val="-2"/>
        </w:rPr>
        <w:t xml:space="preserve"> </w:t>
      </w:r>
      <w:r w:rsidRPr="00FC54AA">
        <w:rPr>
          <w:rFonts w:ascii="Times New Roman" w:hAnsi="Times New Roman"/>
          <w:spacing w:val="-2"/>
        </w:rPr>
        <w:t xml:space="preserve">All items may not be applicable in the review of each project and all items of concern to this office may not be covered on this checklist.  </w:t>
      </w:r>
    </w:p>
    <w:p w14:paraId="23D13020" w14:textId="77777777" w:rsidR="00FC54AA" w:rsidRPr="0040273E" w:rsidRDefault="00FC54AA" w:rsidP="0040273E">
      <w:pPr>
        <w:rPr>
          <w:b/>
        </w:rPr>
      </w:pPr>
    </w:p>
    <w:p w14:paraId="4591A9AF" w14:textId="2792607E" w:rsidR="0040273E" w:rsidRPr="0040273E" w:rsidRDefault="0040273E" w:rsidP="0040273E">
      <w:pPr>
        <w:rPr>
          <w:rFonts w:ascii="Times New Roman" w:hAnsi="Times New Roman"/>
        </w:rPr>
      </w:pP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49"/>
      </w:tblGrid>
      <w:tr w:rsidR="00FE0C75" w:rsidRPr="009360AF" w14:paraId="7A4FC568" w14:textId="77777777" w:rsidTr="00FE0C75">
        <w:trPr>
          <w:tblHeader/>
        </w:trPr>
        <w:tc>
          <w:tcPr>
            <w:tcW w:w="720" w:type="dxa"/>
            <w:shd w:val="clear" w:color="auto" w:fill="auto"/>
            <w:vAlign w:val="center"/>
          </w:tcPr>
          <w:p w14:paraId="19C219B9" w14:textId="4B2F732E" w:rsidR="00FE0C75" w:rsidRPr="009360AF" w:rsidRDefault="00FE0C75" w:rsidP="00E13CEF">
            <w:pPr>
              <w:jc w:val="center"/>
              <w:rPr>
                <w:rFonts w:ascii="Times New Roman" w:hAnsi="Times New Roman"/>
                <w:b/>
                <w:szCs w:val="24"/>
              </w:rPr>
            </w:pPr>
            <w:r>
              <w:rPr>
                <w:rFonts w:ascii="Times New Roman" w:hAnsi="Times New Roman"/>
                <w:b/>
                <w:szCs w:val="24"/>
              </w:rPr>
              <w:t>Y</w:t>
            </w:r>
          </w:p>
        </w:tc>
        <w:tc>
          <w:tcPr>
            <w:tcW w:w="720" w:type="dxa"/>
            <w:shd w:val="clear" w:color="auto" w:fill="auto"/>
            <w:vAlign w:val="center"/>
          </w:tcPr>
          <w:p w14:paraId="37AD58A4" w14:textId="7EEB69DC" w:rsidR="00FE0C75" w:rsidRPr="009360AF" w:rsidRDefault="00FE0C75" w:rsidP="00E13CEF">
            <w:pPr>
              <w:jc w:val="center"/>
              <w:rPr>
                <w:rFonts w:ascii="Times New Roman" w:hAnsi="Times New Roman"/>
                <w:b/>
                <w:szCs w:val="24"/>
              </w:rPr>
            </w:pPr>
            <w:r>
              <w:rPr>
                <w:rFonts w:ascii="Times New Roman" w:hAnsi="Times New Roman"/>
                <w:b/>
                <w:szCs w:val="24"/>
              </w:rPr>
              <w:t>N</w:t>
            </w:r>
          </w:p>
        </w:tc>
        <w:tc>
          <w:tcPr>
            <w:tcW w:w="7249" w:type="dxa"/>
            <w:shd w:val="clear" w:color="auto" w:fill="auto"/>
          </w:tcPr>
          <w:p w14:paraId="28AFC61B" w14:textId="77777777" w:rsidR="00FE0C75" w:rsidRPr="009360AF" w:rsidRDefault="00FE0C75" w:rsidP="00E13CEF">
            <w:pPr>
              <w:jc w:val="center"/>
              <w:rPr>
                <w:rFonts w:ascii="Times New Roman" w:hAnsi="Times New Roman"/>
                <w:b/>
                <w:szCs w:val="24"/>
              </w:rPr>
            </w:pPr>
          </w:p>
        </w:tc>
      </w:tr>
      <w:tr w:rsidR="00FE0C75" w:rsidRPr="009360AF" w14:paraId="033AB831" w14:textId="77777777" w:rsidTr="00FE0C75">
        <w:tc>
          <w:tcPr>
            <w:tcW w:w="720" w:type="dxa"/>
            <w:tcBorders>
              <w:top w:val="nil"/>
            </w:tcBorders>
            <w:shd w:val="clear" w:color="auto" w:fill="B8CCE4" w:themeFill="accent1" w:themeFillTint="66"/>
            <w:vAlign w:val="center"/>
          </w:tcPr>
          <w:p w14:paraId="7534D950" w14:textId="77777777" w:rsidR="00FE0C75" w:rsidRPr="009360AF" w:rsidRDefault="00FE0C75" w:rsidP="00E13CEF">
            <w:pPr>
              <w:jc w:val="center"/>
              <w:rPr>
                <w:rFonts w:ascii="Times New Roman" w:hAnsi="Times New Roman"/>
                <w:b/>
                <w:szCs w:val="24"/>
              </w:rPr>
            </w:pPr>
          </w:p>
        </w:tc>
        <w:tc>
          <w:tcPr>
            <w:tcW w:w="720" w:type="dxa"/>
            <w:tcBorders>
              <w:top w:val="nil"/>
            </w:tcBorders>
            <w:shd w:val="clear" w:color="auto" w:fill="B8CCE4" w:themeFill="accent1" w:themeFillTint="66"/>
          </w:tcPr>
          <w:p w14:paraId="0781C1C9" w14:textId="77777777" w:rsidR="00FE0C75" w:rsidRPr="009360AF" w:rsidRDefault="00FE0C75" w:rsidP="00E13CEF">
            <w:pPr>
              <w:jc w:val="center"/>
              <w:rPr>
                <w:rFonts w:ascii="Times New Roman" w:hAnsi="Times New Roman"/>
                <w:b/>
                <w:szCs w:val="24"/>
              </w:rPr>
            </w:pPr>
          </w:p>
        </w:tc>
        <w:tc>
          <w:tcPr>
            <w:tcW w:w="7249" w:type="dxa"/>
            <w:tcBorders>
              <w:top w:val="nil"/>
            </w:tcBorders>
            <w:shd w:val="clear" w:color="auto" w:fill="B8CCE4" w:themeFill="accent1" w:themeFillTint="66"/>
          </w:tcPr>
          <w:p w14:paraId="4D7B94BD" w14:textId="77777777" w:rsidR="00FE0C75" w:rsidRDefault="00FE0C75" w:rsidP="00EF46D0">
            <w:pPr>
              <w:jc w:val="center"/>
              <w:rPr>
                <w:rFonts w:ascii="Times New Roman" w:hAnsi="Times New Roman"/>
                <w:b/>
                <w:szCs w:val="24"/>
              </w:rPr>
            </w:pPr>
            <w:r>
              <w:rPr>
                <w:rFonts w:ascii="Times New Roman" w:hAnsi="Times New Roman"/>
                <w:b/>
                <w:szCs w:val="24"/>
              </w:rPr>
              <w:t>MODELING AND SIZING</w:t>
            </w:r>
          </w:p>
          <w:p w14:paraId="17F3E8E8" w14:textId="3FCB1F6D" w:rsidR="00FE0C75" w:rsidRPr="00CC2150" w:rsidRDefault="00FE0C75" w:rsidP="00EF46D0">
            <w:pPr>
              <w:jc w:val="center"/>
              <w:rPr>
                <w:rFonts w:ascii="Times New Roman" w:hAnsi="Times New Roman"/>
                <w:szCs w:val="24"/>
              </w:rPr>
            </w:pPr>
          </w:p>
        </w:tc>
      </w:tr>
      <w:tr w:rsidR="00FE0C75" w:rsidRPr="00A22587" w14:paraId="3E058A92" w14:textId="77777777" w:rsidTr="00FE0C75">
        <w:tc>
          <w:tcPr>
            <w:tcW w:w="720" w:type="dxa"/>
            <w:tcBorders>
              <w:top w:val="nil"/>
            </w:tcBorders>
            <w:shd w:val="clear" w:color="auto" w:fill="auto"/>
            <w:vAlign w:val="center"/>
          </w:tcPr>
          <w:p w14:paraId="1C7457B0" w14:textId="77777777" w:rsidR="00FE0C75" w:rsidRPr="00A22587" w:rsidRDefault="00FE0C75" w:rsidP="00AE31F9">
            <w:pPr>
              <w:jc w:val="center"/>
              <w:rPr>
                <w:rFonts w:ascii="Times New Roman" w:hAnsi="Times New Roman"/>
                <w:szCs w:val="24"/>
              </w:rPr>
            </w:pPr>
          </w:p>
        </w:tc>
        <w:tc>
          <w:tcPr>
            <w:tcW w:w="720" w:type="dxa"/>
            <w:tcBorders>
              <w:top w:val="nil"/>
            </w:tcBorders>
            <w:shd w:val="clear" w:color="auto" w:fill="auto"/>
          </w:tcPr>
          <w:p w14:paraId="3654AF77" w14:textId="77777777" w:rsidR="00FE0C75" w:rsidRPr="00A22587" w:rsidRDefault="00FE0C75" w:rsidP="00AE31F9">
            <w:pPr>
              <w:jc w:val="center"/>
              <w:rPr>
                <w:rFonts w:ascii="Times New Roman" w:hAnsi="Times New Roman"/>
                <w:szCs w:val="24"/>
              </w:rPr>
            </w:pPr>
          </w:p>
        </w:tc>
        <w:tc>
          <w:tcPr>
            <w:tcW w:w="7249" w:type="dxa"/>
            <w:tcBorders>
              <w:top w:val="nil"/>
            </w:tcBorders>
            <w:shd w:val="clear" w:color="auto" w:fill="auto"/>
          </w:tcPr>
          <w:p w14:paraId="69DC285E" w14:textId="67F55AE6" w:rsidR="00FE0C75" w:rsidRPr="00244556" w:rsidRDefault="00FE0C75" w:rsidP="00AE31F9">
            <w:pPr>
              <w:rPr>
                <w:rFonts w:ascii="Times New Roman" w:hAnsi="Times New Roman"/>
                <w:szCs w:val="24"/>
                <w:highlight w:val="yellow"/>
              </w:rPr>
            </w:pPr>
            <w:r w:rsidRPr="008C53F6">
              <w:rPr>
                <w:rFonts w:ascii="Times New Roman" w:hAnsi="Times New Roman"/>
                <w:szCs w:val="24"/>
              </w:rPr>
              <w:t xml:space="preserve">For compliance with </w:t>
            </w:r>
            <w:r w:rsidR="00C2441A">
              <w:rPr>
                <w:rFonts w:ascii="Times New Roman" w:hAnsi="Times New Roman"/>
                <w:szCs w:val="24"/>
              </w:rPr>
              <w:t>Core</w:t>
            </w:r>
            <w:r w:rsidRPr="008C53F6">
              <w:rPr>
                <w:rFonts w:ascii="Times New Roman" w:hAnsi="Times New Roman"/>
                <w:szCs w:val="24"/>
              </w:rPr>
              <w:t xml:space="preserve"> Requirements #5 (</w:t>
            </w:r>
            <w:r w:rsidR="008C53F6" w:rsidRPr="008C53F6">
              <w:rPr>
                <w:rFonts w:ascii="Times New Roman" w:hAnsi="Times New Roman"/>
                <w:szCs w:val="24"/>
              </w:rPr>
              <w:t>LID</w:t>
            </w:r>
            <w:r w:rsidRPr="008C53F6">
              <w:rPr>
                <w:rFonts w:ascii="Times New Roman" w:hAnsi="Times New Roman"/>
                <w:szCs w:val="24"/>
              </w:rPr>
              <w:t xml:space="preserve"> </w:t>
            </w:r>
            <w:r w:rsidR="008C53F6" w:rsidRPr="008C53F6">
              <w:rPr>
                <w:rFonts w:ascii="Times New Roman" w:hAnsi="Times New Roman"/>
                <w:szCs w:val="24"/>
              </w:rPr>
              <w:t>P</w:t>
            </w:r>
            <w:r w:rsidRPr="008C53F6">
              <w:rPr>
                <w:rFonts w:ascii="Times New Roman" w:hAnsi="Times New Roman"/>
                <w:szCs w:val="24"/>
              </w:rPr>
              <w:t xml:space="preserve">erformance </w:t>
            </w:r>
            <w:r w:rsidR="008C53F6" w:rsidRPr="008C53F6">
              <w:rPr>
                <w:rFonts w:ascii="Times New Roman" w:hAnsi="Times New Roman"/>
                <w:szCs w:val="24"/>
              </w:rPr>
              <w:t>S</w:t>
            </w:r>
            <w:r w:rsidRPr="008C53F6">
              <w:rPr>
                <w:rFonts w:ascii="Times New Roman" w:hAnsi="Times New Roman"/>
                <w:szCs w:val="24"/>
              </w:rPr>
              <w:t xml:space="preserve">tandard), #6, </w:t>
            </w:r>
            <w:r w:rsidR="00C2441A">
              <w:rPr>
                <w:rFonts w:ascii="Times New Roman" w:hAnsi="Times New Roman"/>
                <w:szCs w:val="24"/>
              </w:rPr>
              <w:t xml:space="preserve">#7, </w:t>
            </w:r>
            <w:r w:rsidRPr="008C53F6">
              <w:rPr>
                <w:rFonts w:ascii="Times New Roman" w:hAnsi="Times New Roman"/>
                <w:szCs w:val="24"/>
              </w:rPr>
              <w:t>and/or #</w:t>
            </w:r>
            <w:r w:rsidR="00C2441A">
              <w:rPr>
                <w:rFonts w:ascii="Times New Roman" w:hAnsi="Times New Roman"/>
                <w:szCs w:val="24"/>
              </w:rPr>
              <w:t>8</w:t>
            </w:r>
            <w:r w:rsidRPr="008C53F6">
              <w:rPr>
                <w:rFonts w:ascii="Times New Roman" w:hAnsi="Times New Roman"/>
                <w:szCs w:val="24"/>
              </w:rPr>
              <w:t>, the Western Washington Hydrology Model (WWHM), MGSFlood, or other approved continuous runoff model is used to model the permeable pavement area.</w:t>
            </w:r>
            <w:r w:rsidR="00C2441A">
              <w:rPr>
                <w:rFonts w:ascii="Times New Roman" w:hAnsi="Times New Roman"/>
                <w:szCs w:val="24"/>
              </w:rPr>
              <w:t xml:space="preserve"> Note: if the project is using permeable pavement to only meet The List Approach within Core Requirement #5, there is no need to model the permeable pavement in a continuous runoff model.</w:t>
            </w:r>
          </w:p>
        </w:tc>
      </w:tr>
      <w:tr w:rsidR="00FE0C75" w:rsidRPr="00A22587" w14:paraId="2E8F2389" w14:textId="77777777" w:rsidTr="00FE0C75">
        <w:tc>
          <w:tcPr>
            <w:tcW w:w="720" w:type="dxa"/>
            <w:tcBorders>
              <w:top w:val="nil"/>
            </w:tcBorders>
            <w:shd w:val="clear" w:color="auto" w:fill="auto"/>
            <w:vAlign w:val="center"/>
          </w:tcPr>
          <w:p w14:paraId="78B25F27" w14:textId="77777777" w:rsidR="00FE0C75" w:rsidRPr="00A22587" w:rsidRDefault="00FE0C75" w:rsidP="00AE31F9">
            <w:pPr>
              <w:jc w:val="center"/>
              <w:rPr>
                <w:rFonts w:ascii="Times New Roman" w:hAnsi="Times New Roman"/>
                <w:szCs w:val="24"/>
              </w:rPr>
            </w:pPr>
          </w:p>
        </w:tc>
        <w:tc>
          <w:tcPr>
            <w:tcW w:w="720" w:type="dxa"/>
            <w:tcBorders>
              <w:top w:val="nil"/>
            </w:tcBorders>
            <w:shd w:val="clear" w:color="auto" w:fill="auto"/>
          </w:tcPr>
          <w:p w14:paraId="6DF9572C" w14:textId="77777777" w:rsidR="00FE0C75" w:rsidRPr="00A22587" w:rsidRDefault="00FE0C75" w:rsidP="00AE31F9">
            <w:pPr>
              <w:jc w:val="center"/>
              <w:rPr>
                <w:rFonts w:ascii="Times New Roman" w:hAnsi="Times New Roman"/>
                <w:szCs w:val="24"/>
              </w:rPr>
            </w:pPr>
          </w:p>
        </w:tc>
        <w:tc>
          <w:tcPr>
            <w:tcW w:w="7249" w:type="dxa"/>
            <w:tcBorders>
              <w:top w:val="nil"/>
            </w:tcBorders>
            <w:shd w:val="clear" w:color="auto" w:fill="auto"/>
          </w:tcPr>
          <w:p w14:paraId="11922481" w14:textId="049F7203" w:rsidR="00FE0C75" w:rsidRPr="00244556" w:rsidRDefault="00FE0C75" w:rsidP="00FE0C75">
            <w:pPr>
              <w:rPr>
                <w:rFonts w:ascii="Times New Roman" w:hAnsi="Times New Roman"/>
                <w:szCs w:val="24"/>
                <w:highlight w:val="yellow"/>
              </w:rPr>
            </w:pPr>
            <w:r w:rsidRPr="00C2441A">
              <w:rPr>
                <w:rFonts w:ascii="Times New Roman" w:hAnsi="Times New Roman"/>
                <w:szCs w:val="24"/>
              </w:rPr>
              <w:t xml:space="preserve">Modeling of runoff from areas of permeable pavement conform to requirements of </w:t>
            </w:r>
            <w:r w:rsidR="00C2441A" w:rsidRPr="00C2441A">
              <w:rPr>
                <w:rFonts w:ascii="Times New Roman" w:hAnsi="Times New Roman"/>
                <w:szCs w:val="24"/>
              </w:rPr>
              <w:t>DDECM Volume V, section 2.2.9.4.1: Modeling of Alternative Paving Surfaces.</w:t>
            </w:r>
          </w:p>
        </w:tc>
      </w:tr>
      <w:tr w:rsidR="00FE0C75" w:rsidRPr="009360AF" w14:paraId="470C1C5C" w14:textId="77777777" w:rsidTr="00FE0C75">
        <w:tc>
          <w:tcPr>
            <w:tcW w:w="720" w:type="dxa"/>
            <w:shd w:val="clear" w:color="auto" w:fill="B8CCE4" w:themeFill="accent1" w:themeFillTint="66"/>
            <w:vAlign w:val="center"/>
          </w:tcPr>
          <w:p w14:paraId="1A198273" w14:textId="77777777" w:rsidR="00FE0C75" w:rsidRPr="009360AF" w:rsidRDefault="00FE0C75" w:rsidP="00AE31F9">
            <w:pPr>
              <w:jc w:val="center"/>
              <w:rPr>
                <w:rFonts w:ascii="Times New Roman" w:hAnsi="Times New Roman"/>
                <w:b/>
                <w:szCs w:val="24"/>
              </w:rPr>
            </w:pPr>
          </w:p>
        </w:tc>
        <w:tc>
          <w:tcPr>
            <w:tcW w:w="720" w:type="dxa"/>
            <w:shd w:val="clear" w:color="auto" w:fill="B8CCE4" w:themeFill="accent1" w:themeFillTint="66"/>
          </w:tcPr>
          <w:p w14:paraId="5FAE45B9" w14:textId="77777777" w:rsidR="00FE0C75" w:rsidRPr="009360AF" w:rsidRDefault="00FE0C75" w:rsidP="00AE31F9">
            <w:pPr>
              <w:jc w:val="center"/>
              <w:rPr>
                <w:rFonts w:ascii="Times New Roman" w:hAnsi="Times New Roman"/>
                <w:b/>
                <w:spacing w:val="-2"/>
                <w:szCs w:val="24"/>
              </w:rPr>
            </w:pPr>
          </w:p>
        </w:tc>
        <w:tc>
          <w:tcPr>
            <w:tcW w:w="7249" w:type="dxa"/>
            <w:shd w:val="clear" w:color="auto" w:fill="B8CCE4" w:themeFill="accent1" w:themeFillTint="66"/>
          </w:tcPr>
          <w:p w14:paraId="1AF04EC6" w14:textId="77777777" w:rsidR="00FE0C75" w:rsidRPr="009360AF" w:rsidRDefault="00FE0C75" w:rsidP="00AE31F9">
            <w:pPr>
              <w:jc w:val="center"/>
              <w:rPr>
                <w:rFonts w:ascii="Times New Roman" w:hAnsi="Times New Roman"/>
                <w:b/>
                <w:szCs w:val="24"/>
              </w:rPr>
            </w:pPr>
            <w:r w:rsidRPr="009360AF">
              <w:rPr>
                <w:rFonts w:ascii="Times New Roman" w:hAnsi="Times New Roman"/>
                <w:b/>
                <w:szCs w:val="24"/>
              </w:rPr>
              <w:t xml:space="preserve">DESIGN CRITERIA </w:t>
            </w:r>
          </w:p>
          <w:p w14:paraId="3BB5C324" w14:textId="2C019B21" w:rsidR="00FE0C75" w:rsidRPr="009360AF" w:rsidRDefault="00FE0C75" w:rsidP="00AE31F9">
            <w:pPr>
              <w:jc w:val="center"/>
              <w:rPr>
                <w:rFonts w:ascii="Times New Roman" w:hAnsi="Times New Roman"/>
                <w:szCs w:val="24"/>
              </w:rPr>
            </w:pPr>
          </w:p>
        </w:tc>
      </w:tr>
      <w:tr w:rsidR="00FE0C75" w:rsidRPr="009360AF" w14:paraId="2ABAB4D9" w14:textId="77777777" w:rsidTr="00FE0C75">
        <w:tc>
          <w:tcPr>
            <w:tcW w:w="720" w:type="dxa"/>
            <w:shd w:val="clear" w:color="auto" w:fill="DBE5F1" w:themeFill="accent1" w:themeFillTint="33"/>
            <w:vAlign w:val="center"/>
          </w:tcPr>
          <w:p w14:paraId="4D19E8ED"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7609A9AE"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6BBF7364" w14:textId="1AA0779F" w:rsidR="00FE0C75" w:rsidRPr="009360AF" w:rsidRDefault="00FE0C75" w:rsidP="00AE31F9">
            <w:pPr>
              <w:autoSpaceDE w:val="0"/>
              <w:autoSpaceDN w:val="0"/>
              <w:adjustRightInd w:val="0"/>
              <w:jc w:val="center"/>
              <w:rPr>
                <w:rFonts w:ascii="Times New Roman" w:eastAsiaTheme="minorHAnsi" w:hAnsi="Times New Roman"/>
                <w:color w:val="000000"/>
                <w:spacing w:val="0"/>
                <w:szCs w:val="24"/>
              </w:rPr>
            </w:pPr>
            <w:r w:rsidRPr="009360AF">
              <w:rPr>
                <w:rFonts w:ascii="Times New Roman" w:hAnsi="Times New Roman"/>
                <w:b/>
                <w:szCs w:val="24"/>
              </w:rPr>
              <w:t>Setbacks and Site Constraints</w:t>
            </w:r>
          </w:p>
        </w:tc>
      </w:tr>
      <w:tr w:rsidR="00FE0C75" w:rsidRPr="009360AF" w14:paraId="04E25E6A" w14:textId="77777777" w:rsidTr="00FE0C75">
        <w:tc>
          <w:tcPr>
            <w:tcW w:w="720" w:type="dxa"/>
            <w:shd w:val="clear" w:color="auto" w:fill="auto"/>
            <w:vAlign w:val="center"/>
          </w:tcPr>
          <w:p w14:paraId="3D4D7A8D"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6063554D"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5DCC6242" w14:textId="1A66EF6E" w:rsidR="00FE0C75" w:rsidRPr="009E2F6B" w:rsidRDefault="00FE0C75" w:rsidP="00AE31F9">
            <w:pPr>
              <w:autoSpaceDE w:val="0"/>
              <w:autoSpaceDN w:val="0"/>
              <w:adjustRightInd w:val="0"/>
              <w:rPr>
                <w:rFonts w:ascii="Times New Roman" w:eastAsiaTheme="minorHAnsi" w:hAnsi="Times New Roman"/>
                <w:color w:val="000000"/>
                <w:spacing w:val="0"/>
                <w:szCs w:val="24"/>
              </w:rPr>
            </w:pPr>
            <w:r w:rsidRPr="009E2F6B">
              <w:rPr>
                <w:rFonts w:ascii="Times New Roman" w:eastAsiaTheme="minorHAnsi" w:hAnsi="Times New Roman"/>
                <w:color w:val="000000"/>
                <w:spacing w:val="0"/>
                <w:szCs w:val="24"/>
              </w:rPr>
              <w:t xml:space="preserve">All permeable pavement surfaces are be set back at least 50 feet from top of slopes steeper than </w:t>
            </w:r>
            <w:r w:rsidR="009E2F6B" w:rsidRPr="009E2F6B">
              <w:rPr>
                <w:rFonts w:ascii="Times New Roman" w:eastAsiaTheme="minorHAnsi" w:hAnsi="Times New Roman"/>
                <w:color w:val="000000"/>
                <w:spacing w:val="0"/>
                <w:szCs w:val="24"/>
              </w:rPr>
              <w:t>15</w:t>
            </w:r>
            <w:r w:rsidRPr="009E2F6B">
              <w:rPr>
                <w:rFonts w:ascii="Times New Roman" w:eastAsiaTheme="minorHAnsi" w:hAnsi="Times New Roman"/>
                <w:color w:val="000000"/>
                <w:spacing w:val="0"/>
                <w:szCs w:val="24"/>
              </w:rPr>
              <w:t xml:space="preserve">% and greater than 10 feet high. </w:t>
            </w:r>
          </w:p>
        </w:tc>
      </w:tr>
      <w:tr w:rsidR="00FE0C75" w:rsidRPr="009360AF" w14:paraId="53F73A59" w14:textId="77777777" w:rsidTr="00FE0C75">
        <w:tc>
          <w:tcPr>
            <w:tcW w:w="720" w:type="dxa"/>
            <w:shd w:val="clear" w:color="auto" w:fill="auto"/>
            <w:vAlign w:val="center"/>
          </w:tcPr>
          <w:p w14:paraId="7F953595" w14:textId="77777777" w:rsidR="00FE0C75" w:rsidRPr="009360AF" w:rsidRDefault="00FE0C75" w:rsidP="00F76F62">
            <w:pPr>
              <w:jc w:val="center"/>
              <w:rPr>
                <w:rFonts w:ascii="Times New Roman" w:hAnsi="Times New Roman"/>
                <w:b/>
                <w:szCs w:val="24"/>
              </w:rPr>
            </w:pPr>
          </w:p>
        </w:tc>
        <w:tc>
          <w:tcPr>
            <w:tcW w:w="720" w:type="dxa"/>
            <w:shd w:val="clear" w:color="auto" w:fill="auto"/>
          </w:tcPr>
          <w:p w14:paraId="1A35818E" w14:textId="01BFEA0D" w:rsidR="00FE0C75" w:rsidRPr="009360AF" w:rsidRDefault="00FE0C75" w:rsidP="00F76F62">
            <w:pPr>
              <w:jc w:val="center"/>
              <w:rPr>
                <w:rFonts w:ascii="Times New Roman" w:hAnsi="Times New Roman"/>
                <w:b/>
                <w:spacing w:val="-2"/>
                <w:szCs w:val="24"/>
              </w:rPr>
            </w:pPr>
            <w:r>
              <w:rPr>
                <w:rFonts w:ascii="Times New Roman" w:hAnsi="Times New Roman"/>
                <w:b/>
                <w:spacing w:val="-2"/>
                <w:szCs w:val="24"/>
              </w:rPr>
              <w:t xml:space="preserve"> </w:t>
            </w:r>
          </w:p>
        </w:tc>
        <w:tc>
          <w:tcPr>
            <w:tcW w:w="7249" w:type="dxa"/>
            <w:shd w:val="clear" w:color="auto" w:fill="auto"/>
          </w:tcPr>
          <w:p w14:paraId="11B7D1C5" w14:textId="3012046E" w:rsidR="00FE0C75" w:rsidRPr="00244556" w:rsidRDefault="00FE0C75" w:rsidP="00FE0C75">
            <w:pPr>
              <w:autoSpaceDE w:val="0"/>
              <w:autoSpaceDN w:val="0"/>
              <w:adjustRightInd w:val="0"/>
              <w:rPr>
                <w:rFonts w:ascii="Times New Roman" w:eastAsiaTheme="minorHAnsi" w:hAnsi="Times New Roman"/>
                <w:color w:val="000000"/>
                <w:spacing w:val="0"/>
                <w:szCs w:val="24"/>
                <w:highlight w:val="yellow"/>
              </w:rPr>
            </w:pPr>
            <w:r w:rsidRPr="008C53F6">
              <w:rPr>
                <w:rFonts w:ascii="Times New Roman" w:eastAsiaTheme="minorHAnsi" w:hAnsi="Times New Roman"/>
                <w:color w:val="000000"/>
                <w:spacing w:val="0"/>
                <w:szCs w:val="24"/>
              </w:rPr>
              <w:t>Permeable pavement surfaces are setback at least 300 feet from an erosion hazard or landslide hazard area.</w:t>
            </w:r>
          </w:p>
        </w:tc>
      </w:tr>
      <w:tr w:rsidR="00FE0C75" w:rsidRPr="009360AF" w14:paraId="127DDF9E" w14:textId="77777777" w:rsidTr="00FE0C75">
        <w:tc>
          <w:tcPr>
            <w:tcW w:w="720" w:type="dxa"/>
            <w:shd w:val="clear" w:color="auto" w:fill="auto"/>
            <w:vAlign w:val="center"/>
          </w:tcPr>
          <w:p w14:paraId="4F6D8533"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379BCCAB"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6F079F79" w14:textId="6C94C357" w:rsidR="00FE0C75" w:rsidRPr="00AF34CC" w:rsidRDefault="00AF34CC" w:rsidP="00AE31F9">
            <w:pPr>
              <w:autoSpaceDE w:val="0"/>
              <w:autoSpaceDN w:val="0"/>
              <w:adjustRightInd w:val="0"/>
              <w:rPr>
                <w:rFonts w:ascii="Times New Roman" w:eastAsiaTheme="minorHAnsi" w:hAnsi="Times New Roman"/>
                <w:color w:val="000000"/>
                <w:spacing w:val="0"/>
                <w:szCs w:val="24"/>
              </w:rPr>
            </w:pPr>
            <w:r w:rsidRPr="00AF34CC">
              <w:rPr>
                <w:rFonts w:ascii="Times New Roman" w:eastAsiaTheme="minorHAnsi" w:hAnsi="Times New Roman"/>
                <w:color w:val="000000"/>
                <w:spacing w:val="0"/>
                <w:szCs w:val="24"/>
              </w:rPr>
              <w:t>100 feet from edge of septic drainfield and drainfield reserve area. Infiltration facility located downgradient unless site topography clearly prohibits subsurface flow from intersection drainfield. May be reduced to 30 feet for infiltration facilities serving a single family residence.</w:t>
            </w:r>
          </w:p>
        </w:tc>
      </w:tr>
      <w:tr w:rsidR="00FE0C75" w:rsidRPr="009360AF" w14:paraId="21BD121E" w14:textId="77777777" w:rsidTr="00FE0C75">
        <w:tc>
          <w:tcPr>
            <w:tcW w:w="720" w:type="dxa"/>
            <w:shd w:val="clear" w:color="auto" w:fill="auto"/>
            <w:vAlign w:val="center"/>
          </w:tcPr>
          <w:p w14:paraId="2B61D2B9"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62DDCC09"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71E96463" w14:textId="69F79DA8" w:rsidR="00FE0C75" w:rsidRPr="00244556" w:rsidRDefault="00FE0C75" w:rsidP="00AE31F9">
            <w:pPr>
              <w:autoSpaceDE w:val="0"/>
              <w:autoSpaceDN w:val="0"/>
              <w:adjustRightInd w:val="0"/>
              <w:rPr>
                <w:rFonts w:ascii="Times New Roman" w:eastAsiaTheme="minorHAnsi" w:hAnsi="Times New Roman"/>
                <w:color w:val="000000"/>
                <w:spacing w:val="0"/>
                <w:szCs w:val="24"/>
                <w:highlight w:val="yellow"/>
              </w:rPr>
            </w:pPr>
            <w:r w:rsidRPr="009E2F6B">
              <w:rPr>
                <w:rFonts w:ascii="Times New Roman" w:eastAsiaTheme="minorHAnsi" w:hAnsi="Times New Roman"/>
                <w:color w:val="000000"/>
                <w:spacing w:val="0"/>
                <w:szCs w:val="24"/>
              </w:rPr>
              <w:t xml:space="preserve">A minimum of 1 foot of vertical clearance from the base of the lowest gravel course or treatment layer to the seasonal high groundwater or other impermeable layer is provided. </w:t>
            </w:r>
          </w:p>
        </w:tc>
      </w:tr>
      <w:tr w:rsidR="00FE0C75" w:rsidRPr="009360AF" w14:paraId="77BECCB3" w14:textId="77777777" w:rsidTr="00FE0C75">
        <w:tc>
          <w:tcPr>
            <w:tcW w:w="720" w:type="dxa"/>
            <w:shd w:val="clear" w:color="auto" w:fill="auto"/>
            <w:vAlign w:val="center"/>
          </w:tcPr>
          <w:p w14:paraId="32204F88"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1C97F42B"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0C7ECE58" w14:textId="0741D66C" w:rsidR="00FE0C75" w:rsidRPr="00244556" w:rsidRDefault="00FE0C75" w:rsidP="00AE31F9">
            <w:pPr>
              <w:autoSpaceDE w:val="0"/>
              <w:autoSpaceDN w:val="0"/>
              <w:adjustRightInd w:val="0"/>
              <w:rPr>
                <w:rFonts w:ascii="Times New Roman" w:eastAsiaTheme="minorHAnsi" w:hAnsi="Times New Roman"/>
                <w:color w:val="000000"/>
                <w:spacing w:val="0"/>
                <w:szCs w:val="24"/>
                <w:highlight w:val="yellow"/>
              </w:rPr>
            </w:pPr>
            <w:r w:rsidRPr="009E2F6B">
              <w:rPr>
                <w:rFonts w:ascii="Times New Roman" w:eastAsiaTheme="minorHAnsi" w:hAnsi="Times New Roman"/>
                <w:color w:val="000000"/>
                <w:spacing w:val="0"/>
                <w:szCs w:val="24"/>
              </w:rPr>
              <w:t xml:space="preserve">Permeable pavement surfaces are setback at least 100 feet from drinking water wells and springs used for drinking water supplies. </w:t>
            </w:r>
          </w:p>
        </w:tc>
      </w:tr>
      <w:tr w:rsidR="00FE0C75" w:rsidRPr="009360AF" w14:paraId="53824423" w14:textId="77777777" w:rsidTr="00FE0C75">
        <w:tc>
          <w:tcPr>
            <w:tcW w:w="720" w:type="dxa"/>
            <w:shd w:val="clear" w:color="auto" w:fill="auto"/>
            <w:vAlign w:val="center"/>
          </w:tcPr>
          <w:p w14:paraId="57F2D298"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1985F687"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434F47CC" w14:textId="7CE44EA4" w:rsidR="00FE0C75" w:rsidRPr="009E2F6B" w:rsidRDefault="00FE0C75" w:rsidP="00AE31F9">
            <w:pPr>
              <w:autoSpaceDE w:val="0"/>
              <w:autoSpaceDN w:val="0"/>
              <w:adjustRightInd w:val="0"/>
              <w:rPr>
                <w:rFonts w:ascii="Times New Roman" w:eastAsiaTheme="minorHAnsi" w:hAnsi="Times New Roman"/>
                <w:color w:val="000000"/>
                <w:spacing w:val="0"/>
                <w:szCs w:val="24"/>
              </w:rPr>
            </w:pPr>
            <w:r w:rsidRPr="009E2F6B">
              <w:rPr>
                <w:rFonts w:ascii="Times New Roman" w:eastAsiaTheme="minorHAnsi" w:hAnsi="Times New Roman"/>
                <w:color w:val="000000"/>
                <w:spacing w:val="0"/>
                <w:szCs w:val="24"/>
              </w:rPr>
              <w:t>Water supply wells are identified and protected, and possible impacts of the proposed infiltration facility on groundwater quality are assessed.</w:t>
            </w:r>
          </w:p>
        </w:tc>
      </w:tr>
      <w:tr w:rsidR="00FE0C75" w:rsidRPr="009360AF" w14:paraId="296BC423" w14:textId="77777777" w:rsidTr="00FE0C75">
        <w:tc>
          <w:tcPr>
            <w:tcW w:w="720" w:type="dxa"/>
            <w:shd w:val="clear" w:color="auto" w:fill="DBE5F1" w:themeFill="accent1" w:themeFillTint="33"/>
            <w:vAlign w:val="center"/>
          </w:tcPr>
          <w:p w14:paraId="7761C825"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7D4828ED"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5457051B" w14:textId="27EA9A41" w:rsidR="00FE0C75" w:rsidRPr="009360AF" w:rsidRDefault="00FE0C75" w:rsidP="00AE31F9">
            <w:pPr>
              <w:jc w:val="center"/>
              <w:rPr>
                <w:rFonts w:ascii="Times New Roman" w:hAnsi="Times New Roman"/>
                <w:b/>
                <w:szCs w:val="24"/>
              </w:rPr>
            </w:pPr>
            <w:r w:rsidRPr="009360AF">
              <w:rPr>
                <w:rFonts w:ascii="Times New Roman" w:hAnsi="Times New Roman"/>
                <w:b/>
                <w:szCs w:val="24"/>
              </w:rPr>
              <w:t>Permeable Wearing Course</w:t>
            </w:r>
          </w:p>
        </w:tc>
      </w:tr>
      <w:tr w:rsidR="00FE0C75" w:rsidRPr="009360AF" w14:paraId="704CB342" w14:textId="77777777" w:rsidTr="00FE0C75">
        <w:tc>
          <w:tcPr>
            <w:tcW w:w="720" w:type="dxa"/>
            <w:shd w:val="clear" w:color="auto" w:fill="auto"/>
            <w:vAlign w:val="center"/>
          </w:tcPr>
          <w:p w14:paraId="1DFF44E1"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65023F48" w14:textId="77777777" w:rsidR="00FE0C75" w:rsidRPr="00244556" w:rsidRDefault="00FE0C75" w:rsidP="00AE31F9">
            <w:pPr>
              <w:jc w:val="center"/>
              <w:rPr>
                <w:rFonts w:ascii="Times New Roman" w:hAnsi="Times New Roman"/>
                <w:b/>
                <w:spacing w:val="-2"/>
                <w:szCs w:val="24"/>
                <w:highlight w:val="yellow"/>
              </w:rPr>
            </w:pPr>
          </w:p>
        </w:tc>
        <w:tc>
          <w:tcPr>
            <w:tcW w:w="7249" w:type="dxa"/>
            <w:shd w:val="clear" w:color="auto" w:fill="auto"/>
          </w:tcPr>
          <w:p w14:paraId="5AC9E95B" w14:textId="77777777" w:rsidR="00FE0C75" w:rsidRPr="00662B2A" w:rsidRDefault="00FE0C75" w:rsidP="00AE31F9">
            <w:pPr>
              <w:pStyle w:val="Default"/>
            </w:pPr>
            <w:r w:rsidRPr="00662B2A">
              <w:t>Recommended maximum wearing course slopes for permeable paving surfaces are:</w:t>
            </w:r>
          </w:p>
          <w:p w14:paraId="160C4D6F" w14:textId="042558AC" w:rsidR="00FE0C75" w:rsidRPr="00662B2A" w:rsidRDefault="00FE0C75" w:rsidP="00AE31F9">
            <w:pPr>
              <w:pStyle w:val="Default"/>
              <w:numPr>
                <w:ilvl w:val="0"/>
                <w:numId w:val="30"/>
              </w:numPr>
            </w:pPr>
            <w:r w:rsidRPr="00662B2A">
              <w:t>Porous asphalt: 5%</w:t>
            </w:r>
          </w:p>
          <w:p w14:paraId="3E3E9E6F" w14:textId="4C263C14" w:rsidR="00FE0C75" w:rsidRPr="00662B2A" w:rsidRDefault="00FE0C75" w:rsidP="00AE31F9">
            <w:pPr>
              <w:pStyle w:val="Default"/>
              <w:numPr>
                <w:ilvl w:val="0"/>
                <w:numId w:val="30"/>
              </w:numPr>
            </w:pPr>
            <w:r w:rsidRPr="00662B2A">
              <w:t xml:space="preserve">Pervious concrete: 10% </w:t>
            </w:r>
          </w:p>
          <w:p w14:paraId="0AF7496E" w14:textId="1185180E" w:rsidR="00FE0C75" w:rsidRPr="00662B2A" w:rsidRDefault="00FE0C75" w:rsidP="00AE31F9">
            <w:pPr>
              <w:pStyle w:val="Default"/>
              <w:numPr>
                <w:ilvl w:val="0"/>
                <w:numId w:val="30"/>
              </w:numPr>
            </w:pPr>
            <w:r w:rsidRPr="00662B2A">
              <w:t xml:space="preserve">Interlocking pavers: 12% </w:t>
            </w:r>
          </w:p>
          <w:p w14:paraId="22429B4E" w14:textId="79B97E33" w:rsidR="00FE0C75" w:rsidRPr="00662B2A" w:rsidRDefault="00FE0C75" w:rsidP="008E1E92">
            <w:pPr>
              <w:pStyle w:val="Default"/>
              <w:numPr>
                <w:ilvl w:val="0"/>
                <w:numId w:val="30"/>
              </w:numPr>
            </w:pPr>
            <w:r w:rsidRPr="00662B2A">
              <w:t xml:space="preserve">Grid and lattice systems: 12% </w:t>
            </w:r>
          </w:p>
        </w:tc>
      </w:tr>
      <w:tr w:rsidR="00FE0C75" w:rsidRPr="009360AF" w14:paraId="7FD9AED4" w14:textId="77777777" w:rsidTr="00FE0C75">
        <w:tc>
          <w:tcPr>
            <w:tcW w:w="720" w:type="dxa"/>
            <w:shd w:val="clear" w:color="auto" w:fill="auto"/>
            <w:vAlign w:val="center"/>
          </w:tcPr>
          <w:p w14:paraId="7D25FF7B"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35C71602"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31A41C2D" w14:textId="07B21597" w:rsidR="00FE0C75" w:rsidRPr="00662B2A" w:rsidRDefault="00FE0C75" w:rsidP="00AE31F9">
            <w:pPr>
              <w:pStyle w:val="Default"/>
            </w:pPr>
            <w:r w:rsidRPr="00662B2A">
              <w:t xml:space="preserve">Manufacturer’s recommendations on design, installation, and maintenance are followed for each application. </w:t>
            </w:r>
          </w:p>
        </w:tc>
      </w:tr>
      <w:tr w:rsidR="00FE0C75" w:rsidRPr="009360AF" w14:paraId="2DF6252A" w14:textId="77777777" w:rsidTr="00FE0C75">
        <w:tc>
          <w:tcPr>
            <w:tcW w:w="720" w:type="dxa"/>
            <w:shd w:val="clear" w:color="auto" w:fill="auto"/>
            <w:vAlign w:val="center"/>
          </w:tcPr>
          <w:p w14:paraId="4781A5FC"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3C98518"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7503CDAC" w14:textId="18778588" w:rsidR="00FE0C75" w:rsidRPr="00244556" w:rsidRDefault="00FE0C75" w:rsidP="00AE31F9">
            <w:pPr>
              <w:pStyle w:val="Default"/>
              <w:rPr>
                <w:highlight w:val="yellow"/>
              </w:rPr>
            </w:pPr>
            <w:r w:rsidRPr="00662B2A">
              <w:t xml:space="preserve">For all surface types, a minimum initial infiltration rate of 20 inches per hour is achieved (ASTM C1701). </w:t>
            </w:r>
          </w:p>
        </w:tc>
      </w:tr>
      <w:tr w:rsidR="00FE0C75" w:rsidRPr="009360AF" w14:paraId="0828131F" w14:textId="77777777" w:rsidTr="00FE0C75">
        <w:tc>
          <w:tcPr>
            <w:tcW w:w="720" w:type="dxa"/>
            <w:shd w:val="clear" w:color="auto" w:fill="auto"/>
            <w:vAlign w:val="center"/>
          </w:tcPr>
          <w:p w14:paraId="28C2CCAA"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4325838"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2A6F3A9B" w14:textId="26E01150" w:rsidR="00FE0C75" w:rsidRPr="009B53DB" w:rsidRDefault="00FE0C75" w:rsidP="00AE31F9">
            <w:pPr>
              <w:pStyle w:val="Default"/>
            </w:pPr>
            <w:r w:rsidRPr="009B53DB">
              <w:rPr>
                <w:iCs/>
              </w:rPr>
              <w:t>Porous Asphalt m</w:t>
            </w:r>
            <w:r w:rsidRPr="009B53DB">
              <w:t>eets performance grade (PG) 70-22.</w:t>
            </w:r>
          </w:p>
        </w:tc>
      </w:tr>
      <w:tr w:rsidR="00FE0C75" w:rsidRPr="009360AF" w14:paraId="71C63215" w14:textId="77777777" w:rsidTr="00FE0C75">
        <w:tc>
          <w:tcPr>
            <w:tcW w:w="720" w:type="dxa"/>
            <w:shd w:val="clear" w:color="auto" w:fill="auto"/>
            <w:vAlign w:val="center"/>
          </w:tcPr>
          <w:p w14:paraId="6B432EB6"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0B63FE7F"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162703B7" w14:textId="424B9F6C" w:rsidR="00FE0C75" w:rsidRPr="009B53DB" w:rsidRDefault="00FE0C75" w:rsidP="00AE31F9">
            <w:pPr>
              <w:pStyle w:val="Default"/>
            </w:pPr>
            <w:r w:rsidRPr="009B53DB">
              <w:rPr>
                <w:iCs/>
              </w:rPr>
              <w:t>Pervious Concrete</w:t>
            </w:r>
            <w:r w:rsidRPr="009B53DB">
              <w:rPr>
                <w:b/>
                <w:iCs/>
              </w:rPr>
              <w:t xml:space="preserve"> </w:t>
            </w:r>
            <w:r w:rsidRPr="009B53DB">
              <w:rPr>
                <w:iCs/>
              </w:rPr>
              <w:t>m</w:t>
            </w:r>
            <w:r w:rsidRPr="009B53DB">
              <w:t>eets American Concrete Institute (ACI) 522.</w:t>
            </w:r>
          </w:p>
        </w:tc>
      </w:tr>
      <w:tr w:rsidR="00FE0C75" w:rsidRPr="009360AF" w14:paraId="56AA3F24" w14:textId="77777777" w:rsidTr="00FE0C75">
        <w:tc>
          <w:tcPr>
            <w:tcW w:w="720" w:type="dxa"/>
            <w:shd w:val="clear" w:color="auto" w:fill="auto"/>
            <w:vAlign w:val="center"/>
          </w:tcPr>
          <w:p w14:paraId="6B71D919"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09A27B90" w14:textId="77777777" w:rsidR="00FE0C75" w:rsidRPr="009B53DB" w:rsidRDefault="00FE0C75" w:rsidP="00AE31F9">
            <w:pPr>
              <w:jc w:val="center"/>
              <w:rPr>
                <w:rFonts w:ascii="Times New Roman" w:hAnsi="Times New Roman"/>
                <w:b/>
                <w:spacing w:val="-2"/>
                <w:szCs w:val="24"/>
              </w:rPr>
            </w:pPr>
          </w:p>
        </w:tc>
        <w:tc>
          <w:tcPr>
            <w:tcW w:w="7249" w:type="dxa"/>
            <w:shd w:val="clear" w:color="auto" w:fill="auto"/>
          </w:tcPr>
          <w:p w14:paraId="396AF0F2" w14:textId="0C8B9832" w:rsidR="00FE0C75" w:rsidRPr="009B53DB" w:rsidRDefault="00FE0C75">
            <w:pPr>
              <w:pStyle w:val="Default"/>
              <w:rPr>
                <w:iCs/>
              </w:rPr>
            </w:pPr>
            <w:r w:rsidRPr="009B53DB">
              <w:t>Interlocking pavers meets design requirements provided in the LID Technical Guidance Manual for Puget Sound (2012) and procedures published by the Interlocking Concrete Pavement Institute.</w:t>
            </w:r>
          </w:p>
        </w:tc>
      </w:tr>
      <w:tr w:rsidR="00FE0C75" w:rsidRPr="009360AF" w14:paraId="380AF705" w14:textId="77777777" w:rsidTr="00FE0C75">
        <w:tc>
          <w:tcPr>
            <w:tcW w:w="720" w:type="dxa"/>
            <w:shd w:val="clear" w:color="auto" w:fill="auto"/>
            <w:vAlign w:val="center"/>
          </w:tcPr>
          <w:p w14:paraId="0A71FC80"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1F067E8"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0ECF0BF9" w14:textId="07D5A341" w:rsidR="00FE0C75" w:rsidRPr="00244556" w:rsidRDefault="00FE0C75" w:rsidP="007B6848">
            <w:pPr>
              <w:pStyle w:val="Default"/>
              <w:rPr>
                <w:b/>
                <w:iCs/>
                <w:highlight w:val="yellow"/>
              </w:rPr>
            </w:pPr>
            <w:r w:rsidRPr="007B0569">
              <w:rPr>
                <w:iCs/>
              </w:rPr>
              <w:t>Grid/lattice system fill material is a minimum of 2 inches of sand, gravel, or soil.</w:t>
            </w:r>
          </w:p>
        </w:tc>
      </w:tr>
      <w:tr w:rsidR="00FE0C75" w:rsidRPr="009360AF" w14:paraId="686A28F8" w14:textId="77777777" w:rsidTr="00FE0C75">
        <w:tc>
          <w:tcPr>
            <w:tcW w:w="720" w:type="dxa"/>
            <w:shd w:val="clear" w:color="auto" w:fill="DBE5F1" w:themeFill="accent1" w:themeFillTint="33"/>
            <w:vAlign w:val="center"/>
          </w:tcPr>
          <w:p w14:paraId="7296BA20"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1B6F6314"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1B38ADA4" w14:textId="02098348" w:rsidR="00FE0C75" w:rsidRPr="009360AF" w:rsidRDefault="00FE0C75" w:rsidP="00AE31F9">
            <w:pPr>
              <w:jc w:val="center"/>
              <w:rPr>
                <w:rFonts w:ascii="Times New Roman" w:hAnsi="Times New Roman"/>
                <w:b/>
                <w:szCs w:val="24"/>
              </w:rPr>
            </w:pPr>
            <w:r w:rsidRPr="009360AF">
              <w:rPr>
                <w:rFonts w:ascii="Times New Roman" w:hAnsi="Times New Roman"/>
                <w:b/>
                <w:szCs w:val="24"/>
              </w:rPr>
              <w:t>Drainage Conveyance</w:t>
            </w:r>
          </w:p>
        </w:tc>
      </w:tr>
      <w:tr w:rsidR="00FE0C75" w:rsidRPr="009360AF" w14:paraId="105C1DEA" w14:textId="77777777" w:rsidTr="00FE0C75">
        <w:tc>
          <w:tcPr>
            <w:tcW w:w="720" w:type="dxa"/>
            <w:shd w:val="clear" w:color="auto" w:fill="auto"/>
            <w:vAlign w:val="center"/>
          </w:tcPr>
          <w:p w14:paraId="412FE299"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6514EB89"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6E9CCC72" w14:textId="392A9747" w:rsidR="00FE0C75" w:rsidRPr="00244556" w:rsidRDefault="00FE0C75" w:rsidP="00AE31F9">
            <w:pPr>
              <w:pStyle w:val="Default"/>
              <w:rPr>
                <w:highlight w:val="yellow"/>
              </w:rPr>
            </w:pPr>
            <w:r w:rsidRPr="003C4F86">
              <w:t>Surface run</w:t>
            </w:r>
            <w:r w:rsidR="009B53DB" w:rsidRPr="003C4F86">
              <w:t>-</w:t>
            </w:r>
            <w:r w:rsidRPr="003C4F86">
              <w:t xml:space="preserve">on to permeable pavement is dispersed as sheet flow or delivered subsurface to the storage reservoir. </w:t>
            </w:r>
          </w:p>
        </w:tc>
      </w:tr>
      <w:tr w:rsidR="00FE0C75" w:rsidRPr="009360AF" w14:paraId="203ACAF9" w14:textId="77777777" w:rsidTr="00FE0C75">
        <w:tc>
          <w:tcPr>
            <w:tcW w:w="720" w:type="dxa"/>
            <w:shd w:val="clear" w:color="auto" w:fill="auto"/>
            <w:vAlign w:val="center"/>
          </w:tcPr>
          <w:p w14:paraId="07C3CDC9"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7DBA5D1A" w14:textId="77777777" w:rsidR="00FE0C75" w:rsidRPr="003C4F86" w:rsidRDefault="00FE0C75" w:rsidP="00AE31F9">
            <w:pPr>
              <w:jc w:val="center"/>
              <w:rPr>
                <w:rFonts w:ascii="Times New Roman" w:hAnsi="Times New Roman"/>
                <w:b/>
                <w:spacing w:val="-2"/>
                <w:szCs w:val="24"/>
              </w:rPr>
            </w:pPr>
          </w:p>
        </w:tc>
        <w:tc>
          <w:tcPr>
            <w:tcW w:w="7249" w:type="dxa"/>
            <w:shd w:val="clear" w:color="auto" w:fill="auto"/>
          </w:tcPr>
          <w:p w14:paraId="71929A6A" w14:textId="31FA5FC0" w:rsidR="00FE0C75" w:rsidRPr="003C4F86" w:rsidRDefault="00FE0C75" w:rsidP="007B6848">
            <w:pPr>
              <w:pStyle w:val="Default"/>
            </w:pPr>
            <w:r w:rsidRPr="003C4F86">
              <w:t>Subsurface run</w:t>
            </w:r>
            <w:r w:rsidR="009B53DB" w:rsidRPr="003C4F86">
              <w:t>-</w:t>
            </w:r>
            <w:r w:rsidRPr="003C4F86">
              <w:t xml:space="preserve">on to permeable pavement is preceded by primary settling (e.g., via catch basin, hooded outlet, sump) followed by distribution to storage reservoir (e.g., via perforated drain pipe). </w:t>
            </w:r>
          </w:p>
        </w:tc>
      </w:tr>
      <w:tr w:rsidR="00FE0C75" w:rsidRPr="009360AF" w14:paraId="6E383168" w14:textId="77777777" w:rsidTr="00FE0C75">
        <w:tc>
          <w:tcPr>
            <w:tcW w:w="720" w:type="dxa"/>
            <w:shd w:val="clear" w:color="auto" w:fill="auto"/>
            <w:vAlign w:val="center"/>
          </w:tcPr>
          <w:p w14:paraId="70D05CD8"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0486BA7E"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3FAD162A" w14:textId="6D38243C" w:rsidR="00FE0C75" w:rsidRPr="00244556" w:rsidRDefault="00FE0C75" w:rsidP="00AE31F9">
            <w:pPr>
              <w:pStyle w:val="Default"/>
              <w:rPr>
                <w:highlight w:val="yellow"/>
              </w:rPr>
            </w:pPr>
            <w:r w:rsidRPr="003C4F86">
              <w:t>If run</w:t>
            </w:r>
            <w:r w:rsidR="009B53DB" w:rsidRPr="003C4F86">
              <w:t>-</w:t>
            </w:r>
            <w:r w:rsidRPr="003C4F86">
              <w:t xml:space="preserve">on is collected from upgradient adjacent impervious paved surfaces, the permeable pavement area is at least twice the area of the impervious area and the length of sheet flow from the impervious paved surface is no greater than half the length across the permeable pavement section. </w:t>
            </w:r>
          </w:p>
        </w:tc>
      </w:tr>
      <w:tr w:rsidR="00FE0C75" w:rsidRPr="009360AF" w14:paraId="41534BC4" w14:textId="77777777" w:rsidTr="00FE0C75">
        <w:tc>
          <w:tcPr>
            <w:tcW w:w="720" w:type="dxa"/>
            <w:shd w:val="clear" w:color="auto" w:fill="auto"/>
            <w:vAlign w:val="center"/>
          </w:tcPr>
          <w:p w14:paraId="12384AC3"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1498E40C"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48716598" w14:textId="2BCEF3DF" w:rsidR="00FE0C75" w:rsidRPr="00244556" w:rsidRDefault="00FE0C75" w:rsidP="00AE31F9">
            <w:pPr>
              <w:autoSpaceDE w:val="0"/>
              <w:autoSpaceDN w:val="0"/>
              <w:adjustRightInd w:val="0"/>
              <w:rPr>
                <w:rFonts w:ascii="Times New Roman" w:eastAsiaTheme="minorHAnsi" w:hAnsi="Times New Roman"/>
                <w:color w:val="000000"/>
                <w:spacing w:val="0"/>
                <w:szCs w:val="24"/>
                <w:highlight w:val="yellow"/>
              </w:rPr>
            </w:pPr>
            <w:r w:rsidRPr="008F63A8">
              <w:rPr>
                <w:rFonts w:ascii="Times New Roman" w:hAnsi="Times New Roman"/>
                <w:szCs w:val="24"/>
              </w:rPr>
              <w:t>The overflow route is sized to convey the 100-year recurrence interval developed peak flow to the downstream conveyance system or other acceptable discharge point without posing a health or safety risk or causing property damage.</w:t>
            </w:r>
          </w:p>
        </w:tc>
      </w:tr>
      <w:tr w:rsidR="00FE0C75" w:rsidRPr="009360AF" w:rsidDel="00AE31F9" w14:paraId="044AC9A2" w14:textId="56FCF35F" w:rsidTr="00FE0C75">
        <w:tc>
          <w:tcPr>
            <w:tcW w:w="720" w:type="dxa"/>
            <w:shd w:val="clear" w:color="auto" w:fill="auto"/>
            <w:vAlign w:val="center"/>
          </w:tcPr>
          <w:p w14:paraId="5DE154CA" w14:textId="330C19EE" w:rsidR="00FE0C75" w:rsidRPr="009360AF" w:rsidDel="00AE31F9" w:rsidRDefault="00FE0C75" w:rsidP="00AE31F9">
            <w:pPr>
              <w:jc w:val="center"/>
              <w:rPr>
                <w:rFonts w:ascii="Times New Roman" w:hAnsi="Times New Roman"/>
                <w:b/>
                <w:szCs w:val="24"/>
              </w:rPr>
            </w:pPr>
          </w:p>
        </w:tc>
        <w:tc>
          <w:tcPr>
            <w:tcW w:w="720" w:type="dxa"/>
            <w:shd w:val="clear" w:color="auto" w:fill="auto"/>
          </w:tcPr>
          <w:p w14:paraId="287EA339" w14:textId="724B7C3A" w:rsidR="00FE0C75" w:rsidRPr="00BB7763" w:rsidDel="00AE31F9" w:rsidRDefault="00FE0C75" w:rsidP="00AE31F9">
            <w:pPr>
              <w:jc w:val="center"/>
              <w:rPr>
                <w:rFonts w:ascii="Times New Roman" w:hAnsi="Times New Roman"/>
                <w:b/>
                <w:spacing w:val="-2"/>
                <w:szCs w:val="24"/>
              </w:rPr>
            </w:pPr>
          </w:p>
        </w:tc>
        <w:tc>
          <w:tcPr>
            <w:tcW w:w="7249" w:type="dxa"/>
            <w:shd w:val="clear" w:color="auto" w:fill="auto"/>
          </w:tcPr>
          <w:p w14:paraId="1D489362" w14:textId="3C0CC1B0" w:rsidR="00FE0C75" w:rsidRPr="00BB7763" w:rsidDel="00AE31F9" w:rsidRDefault="00FE0C75" w:rsidP="00AE31F9">
            <w:pPr>
              <w:pStyle w:val="Default"/>
            </w:pPr>
            <w:r w:rsidRPr="00BB7763" w:rsidDel="00AE31F9">
              <w:t xml:space="preserve">An approved point of discharge </w:t>
            </w:r>
            <w:r w:rsidR="00BB7763">
              <w:t xml:space="preserve">for overflows </w:t>
            </w:r>
            <w:r w:rsidRPr="00BB7763" w:rsidDel="00AE31F9">
              <w:t>is provided (e.g., via slotted drain pipe or lateral flow through the storage layer to a daylighted conveyance system).</w:t>
            </w:r>
          </w:p>
        </w:tc>
      </w:tr>
      <w:tr w:rsidR="00FE0C75" w:rsidRPr="009360AF" w14:paraId="3B3F1D61" w14:textId="77777777" w:rsidTr="00FE0C75">
        <w:tc>
          <w:tcPr>
            <w:tcW w:w="720" w:type="dxa"/>
            <w:shd w:val="clear" w:color="auto" w:fill="DBE5F1" w:themeFill="accent1" w:themeFillTint="33"/>
            <w:vAlign w:val="center"/>
          </w:tcPr>
          <w:p w14:paraId="72A10EAE"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27BD15DC"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1BFC5B16" w14:textId="02B3E279" w:rsidR="00FE0C75" w:rsidRPr="009360AF" w:rsidRDefault="00FE0C75" w:rsidP="00AE31F9">
            <w:pPr>
              <w:autoSpaceDE w:val="0"/>
              <w:autoSpaceDN w:val="0"/>
              <w:adjustRightInd w:val="0"/>
              <w:jc w:val="center"/>
              <w:rPr>
                <w:rFonts w:ascii="Times New Roman" w:eastAsiaTheme="minorHAnsi" w:hAnsi="Times New Roman"/>
                <w:b/>
                <w:color w:val="000000"/>
                <w:spacing w:val="0"/>
                <w:szCs w:val="24"/>
              </w:rPr>
            </w:pPr>
            <w:r w:rsidRPr="009360AF">
              <w:rPr>
                <w:rFonts w:ascii="Times New Roman" w:eastAsiaTheme="minorHAnsi" w:hAnsi="Times New Roman"/>
                <w:b/>
                <w:color w:val="000000"/>
                <w:spacing w:val="0"/>
                <w:szCs w:val="24"/>
              </w:rPr>
              <w:t>Leveling Course</w:t>
            </w:r>
          </w:p>
        </w:tc>
      </w:tr>
      <w:tr w:rsidR="00FE0C75" w:rsidRPr="009360AF" w14:paraId="06A3B432" w14:textId="77777777" w:rsidTr="00FE0C75">
        <w:tc>
          <w:tcPr>
            <w:tcW w:w="720" w:type="dxa"/>
            <w:tcBorders>
              <w:bottom w:val="single" w:sz="4" w:space="0" w:color="auto"/>
            </w:tcBorders>
            <w:shd w:val="clear" w:color="auto" w:fill="auto"/>
            <w:vAlign w:val="center"/>
          </w:tcPr>
          <w:p w14:paraId="0926AF29" w14:textId="77777777" w:rsidR="00FE0C75" w:rsidRPr="009360AF" w:rsidRDefault="00FE0C75" w:rsidP="00AE31F9">
            <w:pPr>
              <w:jc w:val="center"/>
              <w:rPr>
                <w:rFonts w:ascii="Times New Roman" w:hAnsi="Times New Roman"/>
                <w:b/>
                <w:szCs w:val="24"/>
              </w:rPr>
            </w:pPr>
          </w:p>
        </w:tc>
        <w:tc>
          <w:tcPr>
            <w:tcW w:w="720" w:type="dxa"/>
            <w:tcBorders>
              <w:bottom w:val="single" w:sz="4" w:space="0" w:color="auto"/>
            </w:tcBorders>
            <w:shd w:val="clear" w:color="auto" w:fill="auto"/>
          </w:tcPr>
          <w:p w14:paraId="2C1A5FE8" w14:textId="77777777" w:rsidR="00FE0C75" w:rsidRPr="009360AF" w:rsidRDefault="00FE0C75" w:rsidP="00AE31F9">
            <w:pPr>
              <w:jc w:val="center"/>
              <w:rPr>
                <w:rFonts w:ascii="Times New Roman" w:hAnsi="Times New Roman"/>
                <w:b/>
                <w:spacing w:val="-2"/>
                <w:szCs w:val="24"/>
              </w:rPr>
            </w:pPr>
          </w:p>
        </w:tc>
        <w:tc>
          <w:tcPr>
            <w:tcW w:w="7249" w:type="dxa"/>
            <w:tcBorders>
              <w:bottom w:val="single" w:sz="4" w:space="0" w:color="auto"/>
            </w:tcBorders>
            <w:shd w:val="clear" w:color="auto" w:fill="auto"/>
          </w:tcPr>
          <w:p w14:paraId="0ADE20F9" w14:textId="19C7EA98" w:rsidR="00FE0C75" w:rsidRPr="00EA5EDB" w:rsidRDefault="00FE0C75" w:rsidP="007B6848">
            <w:pPr>
              <w:autoSpaceDE w:val="0"/>
              <w:autoSpaceDN w:val="0"/>
              <w:adjustRightInd w:val="0"/>
              <w:rPr>
                <w:rFonts w:ascii="Times New Roman" w:eastAsiaTheme="minorHAnsi" w:hAnsi="Times New Roman"/>
                <w:color w:val="000000"/>
                <w:spacing w:val="0"/>
                <w:szCs w:val="24"/>
              </w:rPr>
            </w:pPr>
            <w:r w:rsidRPr="00EA5EDB">
              <w:rPr>
                <w:rFonts w:ascii="Times New Roman" w:hAnsi="Times New Roman"/>
                <w:szCs w:val="24"/>
              </w:rPr>
              <w:t>Leveling course material and thickness as required per manufacturer recommendations.</w:t>
            </w:r>
          </w:p>
        </w:tc>
      </w:tr>
      <w:tr w:rsidR="00FE0C75" w:rsidRPr="009360AF" w14:paraId="30309B8A" w14:textId="77777777" w:rsidTr="00FE0C75">
        <w:tc>
          <w:tcPr>
            <w:tcW w:w="720" w:type="dxa"/>
            <w:tcBorders>
              <w:top w:val="single" w:sz="4" w:space="0" w:color="auto"/>
            </w:tcBorders>
            <w:shd w:val="clear" w:color="auto" w:fill="auto"/>
            <w:vAlign w:val="center"/>
          </w:tcPr>
          <w:p w14:paraId="3AC21C1A" w14:textId="77777777" w:rsidR="00FE0C75" w:rsidRPr="009360AF" w:rsidRDefault="00FE0C75" w:rsidP="00AE31F9">
            <w:pPr>
              <w:jc w:val="center"/>
              <w:rPr>
                <w:rFonts w:ascii="Times New Roman" w:hAnsi="Times New Roman"/>
                <w:b/>
                <w:szCs w:val="24"/>
              </w:rPr>
            </w:pPr>
          </w:p>
        </w:tc>
        <w:tc>
          <w:tcPr>
            <w:tcW w:w="720" w:type="dxa"/>
            <w:tcBorders>
              <w:top w:val="single" w:sz="4" w:space="0" w:color="auto"/>
            </w:tcBorders>
            <w:shd w:val="clear" w:color="auto" w:fill="auto"/>
          </w:tcPr>
          <w:p w14:paraId="43BCF553" w14:textId="77777777" w:rsidR="00FE0C75" w:rsidRPr="009360AF" w:rsidRDefault="00FE0C75" w:rsidP="00AE31F9">
            <w:pPr>
              <w:jc w:val="center"/>
              <w:rPr>
                <w:rFonts w:ascii="Times New Roman" w:hAnsi="Times New Roman"/>
                <w:b/>
                <w:spacing w:val="-2"/>
                <w:szCs w:val="24"/>
              </w:rPr>
            </w:pPr>
          </w:p>
        </w:tc>
        <w:tc>
          <w:tcPr>
            <w:tcW w:w="7249" w:type="dxa"/>
            <w:tcBorders>
              <w:top w:val="single" w:sz="4" w:space="0" w:color="auto"/>
            </w:tcBorders>
            <w:shd w:val="clear" w:color="auto" w:fill="auto"/>
          </w:tcPr>
          <w:p w14:paraId="431C4FDD" w14:textId="11AB29E1" w:rsidR="00FE0C75" w:rsidRPr="00EA5EDB" w:rsidRDefault="00FE0C75" w:rsidP="00AE31F9">
            <w:pPr>
              <w:autoSpaceDE w:val="0"/>
              <w:autoSpaceDN w:val="0"/>
              <w:adjustRightInd w:val="0"/>
              <w:rPr>
                <w:rFonts w:ascii="Times New Roman" w:eastAsiaTheme="minorHAnsi" w:hAnsi="Times New Roman"/>
                <w:color w:val="000000"/>
                <w:spacing w:val="0"/>
                <w:szCs w:val="24"/>
              </w:rPr>
            </w:pPr>
            <w:r w:rsidRPr="00EA5EDB">
              <w:rPr>
                <w:rFonts w:ascii="Times New Roman" w:hAnsi="Times New Roman"/>
                <w:szCs w:val="24"/>
              </w:rPr>
              <w:t>Leveling course material is compatible with underlying aggregate storage reservoir material</w:t>
            </w:r>
            <w:r w:rsidR="00EA5EDB">
              <w:rPr>
                <w:rFonts w:ascii="Times New Roman" w:hAnsi="Times New Roman"/>
                <w:szCs w:val="24"/>
              </w:rPr>
              <w:t xml:space="preserve"> and have at least a 20 in/hour design infiltration rate</w:t>
            </w:r>
            <w:r w:rsidRPr="00EA5EDB">
              <w:rPr>
                <w:rFonts w:ascii="Times New Roman" w:hAnsi="Times New Roman"/>
                <w:szCs w:val="24"/>
              </w:rPr>
              <w:t>.</w:t>
            </w:r>
          </w:p>
        </w:tc>
      </w:tr>
      <w:tr w:rsidR="00FE0C75" w:rsidRPr="009360AF" w14:paraId="700AB940" w14:textId="77777777" w:rsidTr="00FE0C75">
        <w:tc>
          <w:tcPr>
            <w:tcW w:w="720" w:type="dxa"/>
            <w:shd w:val="clear" w:color="auto" w:fill="DBE5F1" w:themeFill="accent1" w:themeFillTint="33"/>
            <w:vAlign w:val="center"/>
          </w:tcPr>
          <w:p w14:paraId="7D466539"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10A6473A"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560745B9" w14:textId="10EBEA90" w:rsidR="00FE0C75" w:rsidRPr="009360AF" w:rsidRDefault="00FE0C75" w:rsidP="00AE31F9">
            <w:pPr>
              <w:jc w:val="center"/>
              <w:rPr>
                <w:rFonts w:ascii="Times New Roman" w:hAnsi="Times New Roman"/>
                <w:b/>
                <w:szCs w:val="24"/>
              </w:rPr>
            </w:pPr>
            <w:r w:rsidRPr="009360AF">
              <w:rPr>
                <w:rFonts w:ascii="Times New Roman" w:hAnsi="Times New Roman"/>
                <w:b/>
                <w:bCs/>
                <w:szCs w:val="24"/>
              </w:rPr>
              <w:t>Aggregate Storage Reservoir</w:t>
            </w:r>
          </w:p>
        </w:tc>
      </w:tr>
      <w:tr w:rsidR="00FE0C75" w:rsidRPr="009360AF" w14:paraId="4E370BAA" w14:textId="77777777" w:rsidTr="00FE0C75">
        <w:tc>
          <w:tcPr>
            <w:tcW w:w="720" w:type="dxa"/>
            <w:shd w:val="clear" w:color="auto" w:fill="auto"/>
            <w:vAlign w:val="center"/>
          </w:tcPr>
          <w:p w14:paraId="62C8D257"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4D3A50E3"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513DE2EA" w14:textId="55AEC73D" w:rsidR="00FE0C75" w:rsidRPr="00244556" w:rsidRDefault="00FE0C75" w:rsidP="00070E73">
            <w:pPr>
              <w:pStyle w:val="Default"/>
              <w:rPr>
                <w:highlight w:val="yellow"/>
              </w:rPr>
            </w:pPr>
            <w:r w:rsidRPr="00EA5EDB">
              <w:t>A 6-inch minimum depth (except for driveways, a 4-inch minimum depth) of aggregate storage reservoir is provided under the permeable wearing course and leveling course (if present) for water storage.</w:t>
            </w:r>
          </w:p>
        </w:tc>
      </w:tr>
      <w:tr w:rsidR="00FE0C75" w:rsidRPr="009360AF" w14:paraId="02319961" w14:textId="77777777" w:rsidTr="00FE0C75">
        <w:tc>
          <w:tcPr>
            <w:tcW w:w="720" w:type="dxa"/>
            <w:shd w:val="clear" w:color="auto" w:fill="auto"/>
            <w:vAlign w:val="center"/>
          </w:tcPr>
          <w:p w14:paraId="751DE7E4"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1756095F"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5AB23895" w14:textId="348EDA8F" w:rsidR="00FE0C75" w:rsidRPr="00244556" w:rsidRDefault="00FE0C75" w:rsidP="00AE31F9">
            <w:pPr>
              <w:pStyle w:val="Default"/>
              <w:rPr>
                <w:highlight w:val="yellow"/>
              </w:rPr>
            </w:pPr>
            <w:r w:rsidRPr="00662B2A">
              <w:t xml:space="preserve">Aggregate storage reservoir consists of larger rock at the bottom and smaller rock directly under the top surface (e.g., a gradient from 2- to 5/8- inch) </w:t>
            </w:r>
          </w:p>
        </w:tc>
      </w:tr>
      <w:tr w:rsidR="00FE0C75" w:rsidRPr="009360AF" w14:paraId="142FAA81" w14:textId="77777777" w:rsidTr="00FE0C75">
        <w:tc>
          <w:tcPr>
            <w:tcW w:w="720" w:type="dxa"/>
            <w:shd w:val="clear" w:color="auto" w:fill="auto"/>
            <w:vAlign w:val="center"/>
          </w:tcPr>
          <w:p w14:paraId="306CE75F"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CF4F669"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3C9DFE40" w14:textId="05EEC24D" w:rsidR="00FE0C75" w:rsidRPr="00244556" w:rsidRDefault="00FE0C75" w:rsidP="00AE31F9">
            <w:pPr>
              <w:pStyle w:val="Default"/>
              <w:rPr>
                <w:highlight w:val="yellow"/>
              </w:rPr>
            </w:pPr>
            <w:r w:rsidRPr="00EA5EDB">
              <w:rPr>
                <w:color w:val="auto"/>
              </w:rPr>
              <w:t xml:space="preserve">If the project is using permeable pavement and an underdrain to meet Minimum Requirement #5, the underdrain is elevated within the aggregate base course such that the underdrain invert is set at or above the maximum design ponding depth. </w:t>
            </w:r>
          </w:p>
        </w:tc>
      </w:tr>
      <w:tr w:rsidR="00FE0C75" w:rsidRPr="009360AF" w14:paraId="7486F493" w14:textId="77777777" w:rsidTr="00FE0C75">
        <w:tc>
          <w:tcPr>
            <w:tcW w:w="720" w:type="dxa"/>
            <w:shd w:val="clear" w:color="auto" w:fill="DBE5F1" w:themeFill="accent1" w:themeFillTint="33"/>
            <w:vAlign w:val="center"/>
          </w:tcPr>
          <w:p w14:paraId="222B1618"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69FB5D13"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6B2E913E" w14:textId="3261A774" w:rsidR="00FE0C75" w:rsidRPr="009360AF" w:rsidRDefault="00FE0C75" w:rsidP="00AE31F9">
            <w:pPr>
              <w:jc w:val="center"/>
              <w:rPr>
                <w:rFonts w:ascii="Times New Roman" w:hAnsi="Times New Roman"/>
                <w:b/>
                <w:szCs w:val="24"/>
              </w:rPr>
            </w:pPr>
            <w:r w:rsidRPr="009360AF">
              <w:rPr>
                <w:rFonts w:ascii="Times New Roman" w:hAnsi="Times New Roman"/>
                <w:b/>
                <w:bCs/>
                <w:szCs w:val="24"/>
              </w:rPr>
              <w:t>Lateral Subsurface Impermeable Barriers</w:t>
            </w:r>
          </w:p>
        </w:tc>
      </w:tr>
      <w:tr w:rsidR="00FE0C75" w:rsidRPr="009360AF" w14:paraId="500A6FA5" w14:textId="77777777" w:rsidTr="00FE0C75">
        <w:tc>
          <w:tcPr>
            <w:tcW w:w="720" w:type="dxa"/>
            <w:shd w:val="clear" w:color="auto" w:fill="auto"/>
            <w:vAlign w:val="center"/>
          </w:tcPr>
          <w:p w14:paraId="2CC6A780"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C14AACC"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1FE93106" w14:textId="11A69720" w:rsidR="00FE0C75" w:rsidRPr="00244556" w:rsidRDefault="00FE0C75" w:rsidP="00AE31F9">
            <w:pPr>
              <w:pStyle w:val="Default"/>
              <w:rPr>
                <w:highlight w:val="yellow"/>
              </w:rPr>
            </w:pPr>
            <w:r w:rsidRPr="003C4F86">
              <w:t xml:space="preserve">Lateral impermeable barriers are installed at regular intervals perpendicular to the subgrade slope </w:t>
            </w:r>
            <w:r w:rsidR="003C4F86" w:rsidRPr="003C4F86">
              <w:t xml:space="preserve">to provide the average subsurface </w:t>
            </w:r>
            <w:r w:rsidR="003C4F86" w:rsidRPr="003C4F86">
              <w:lastRenderedPageBreak/>
              <w:t>ponding depth in the aggregate storage reservoir required to meet the desired performance standard.</w:t>
            </w:r>
          </w:p>
        </w:tc>
      </w:tr>
      <w:tr w:rsidR="00FE0C75" w:rsidRPr="009360AF" w14:paraId="2830A921" w14:textId="77777777" w:rsidTr="00FE0C75">
        <w:trPr>
          <w:trHeight w:val="215"/>
        </w:trPr>
        <w:tc>
          <w:tcPr>
            <w:tcW w:w="720" w:type="dxa"/>
            <w:shd w:val="clear" w:color="auto" w:fill="auto"/>
            <w:vAlign w:val="center"/>
          </w:tcPr>
          <w:p w14:paraId="68C57A13"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7AE920D6"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5C9DAE32" w14:textId="4237E391" w:rsidR="00FE0C75" w:rsidRPr="003C4F86" w:rsidRDefault="00FE0C75" w:rsidP="00AE31F9">
            <w:pPr>
              <w:pStyle w:val="Default"/>
            </w:pPr>
            <w:r w:rsidRPr="003C4F86">
              <w:t>The barriers do not extend to the elevation of the surrounding ground.</w:t>
            </w:r>
          </w:p>
        </w:tc>
      </w:tr>
      <w:tr w:rsidR="00FE0C75" w:rsidRPr="009360AF" w14:paraId="7F76E6C1" w14:textId="77777777" w:rsidTr="00FE0C75">
        <w:tc>
          <w:tcPr>
            <w:tcW w:w="720" w:type="dxa"/>
            <w:shd w:val="clear" w:color="auto" w:fill="auto"/>
            <w:vAlign w:val="center"/>
          </w:tcPr>
          <w:p w14:paraId="0BD1800A"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7F29ABB0"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7CAC77A5" w14:textId="614B6BF2" w:rsidR="00FE0C75" w:rsidRPr="003C4F86" w:rsidRDefault="00FE0C75" w:rsidP="00AE31F9">
            <w:pPr>
              <w:pStyle w:val="Default"/>
            </w:pPr>
            <w:r w:rsidRPr="003C4F86">
              <w:t xml:space="preserve">Each barrier has an overflow, or allows overtopping to the next downslope aggregate storage reservoir section without causing flows to express from the pavement surface or out the sides of the base materials that are above grade. </w:t>
            </w:r>
          </w:p>
        </w:tc>
      </w:tr>
      <w:tr w:rsidR="00FE0C75" w:rsidRPr="009360AF" w14:paraId="57AC0431" w14:textId="77777777" w:rsidTr="00FE0C75">
        <w:tc>
          <w:tcPr>
            <w:tcW w:w="720" w:type="dxa"/>
            <w:shd w:val="clear" w:color="auto" w:fill="DBE5F1" w:themeFill="accent1" w:themeFillTint="33"/>
            <w:vAlign w:val="center"/>
          </w:tcPr>
          <w:p w14:paraId="28D072C2"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5FCF36F5"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2B7C3939" w14:textId="4D2C7025" w:rsidR="00FE0C75" w:rsidRPr="009360AF" w:rsidRDefault="00FE0C75" w:rsidP="00AE31F9">
            <w:pPr>
              <w:autoSpaceDE w:val="0"/>
              <w:autoSpaceDN w:val="0"/>
              <w:adjustRightInd w:val="0"/>
              <w:jc w:val="center"/>
              <w:rPr>
                <w:rFonts w:ascii="Times New Roman" w:eastAsiaTheme="minorHAnsi" w:hAnsi="Times New Roman"/>
                <w:b/>
                <w:color w:val="000000"/>
                <w:spacing w:val="0"/>
                <w:szCs w:val="24"/>
              </w:rPr>
            </w:pPr>
            <w:r w:rsidRPr="009360AF">
              <w:rPr>
                <w:rFonts w:ascii="Times New Roman" w:eastAsiaTheme="minorHAnsi" w:hAnsi="Times New Roman"/>
                <w:b/>
                <w:color w:val="000000"/>
                <w:spacing w:val="0"/>
                <w:szCs w:val="24"/>
              </w:rPr>
              <w:t>Nonwoven Geotextile</w:t>
            </w:r>
          </w:p>
        </w:tc>
      </w:tr>
      <w:tr w:rsidR="00FE0C75" w:rsidRPr="009360AF" w14:paraId="7CA6B424" w14:textId="77777777" w:rsidTr="00FE0C75">
        <w:tc>
          <w:tcPr>
            <w:tcW w:w="720" w:type="dxa"/>
            <w:shd w:val="clear" w:color="auto" w:fill="auto"/>
            <w:vAlign w:val="center"/>
          </w:tcPr>
          <w:p w14:paraId="1F590110"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348A8B6B"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42136216" w14:textId="262D525B" w:rsidR="00FE0C75" w:rsidRPr="009360AF" w:rsidRDefault="00FE0C75" w:rsidP="00AE31F9">
            <w:pPr>
              <w:autoSpaceDE w:val="0"/>
              <w:autoSpaceDN w:val="0"/>
              <w:adjustRightInd w:val="0"/>
              <w:rPr>
                <w:rFonts w:ascii="Times New Roman" w:eastAsiaTheme="minorHAnsi" w:hAnsi="Times New Roman"/>
                <w:color w:val="000000"/>
                <w:spacing w:val="0"/>
                <w:szCs w:val="24"/>
              </w:rPr>
            </w:pPr>
            <w:r w:rsidRPr="003C4F86">
              <w:rPr>
                <w:rFonts w:ascii="Times New Roman" w:eastAsiaTheme="minorHAnsi" w:hAnsi="Times New Roman"/>
                <w:color w:val="000000"/>
                <w:spacing w:val="0"/>
                <w:szCs w:val="24"/>
              </w:rPr>
              <w:t>Only used for soil types with poor structural stability to prevent fines from migrating to the open graded material.</w:t>
            </w:r>
          </w:p>
        </w:tc>
      </w:tr>
      <w:tr w:rsidR="00FE0C75" w:rsidRPr="009360AF" w14:paraId="0EA0FC58" w14:textId="77777777" w:rsidTr="00FE0C75">
        <w:tc>
          <w:tcPr>
            <w:tcW w:w="720" w:type="dxa"/>
            <w:shd w:val="clear" w:color="auto" w:fill="DBE5F1" w:themeFill="accent1" w:themeFillTint="33"/>
            <w:vAlign w:val="center"/>
          </w:tcPr>
          <w:p w14:paraId="2345666C"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3876FF66"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4830AE71" w14:textId="6F8B2F18" w:rsidR="00FE0C75" w:rsidRPr="009360AF" w:rsidRDefault="00FE0C75" w:rsidP="00AE31F9">
            <w:pPr>
              <w:autoSpaceDE w:val="0"/>
              <w:autoSpaceDN w:val="0"/>
              <w:adjustRightInd w:val="0"/>
              <w:jc w:val="center"/>
              <w:rPr>
                <w:rFonts w:ascii="Times New Roman" w:eastAsiaTheme="minorHAnsi" w:hAnsi="Times New Roman"/>
                <w:color w:val="000000"/>
                <w:spacing w:val="0"/>
                <w:szCs w:val="24"/>
              </w:rPr>
            </w:pPr>
            <w:r w:rsidRPr="009360AF">
              <w:rPr>
                <w:rFonts w:ascii="Times New Roman" w:eastAsiaTheme="minorHAnsi" w:hAnsi="Times New Roman"/>
                <w:b/>
                <w:color w:val="000000"/>
                <w:spacing w:val="0"/>
                <w:szCs w:val="24"/>
              </w:rPr>
              <w:t>Subgrade</w:t>
            </w:r>
          </w:p>
        </w:tc>
      </w:tr>
      <w:tr w:rsidR="00FE0C75" w:rsidRPr="009360AF" w14:paraId="2B54E531" w14:textId="77777777" w:rsidTr="00FE0C75">
        <w:tc>
          <w:tcPr>
            <w:tcW w:w="720" w:type="dxa"/>
            <w:shd w:val="clear" w:color="auto" w:fill="auto"/>
            <w:vAlign w:val="center"/>
          </w:tcPr>
          <w:p w14:paraId="0DBCC084"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1D3250B6"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2E4F17E8" w14:textId="791CBCBE" w:rsidR="00FE0C75" w:rsidRPr="003C4F86" w:rsidRDefault="00FE0C75">
            <w:pPr>
              <w:pStyle w:val="Default"/>
            </w:pPr>
            <w:r w:rsidRPr="003C4F86">
              <w:t xml:space="preserve">The subgrade is compacted to “firm and unyielding” (qualitative) or 90 to 92% Standard Proctor (quantitative). </w:t>
            </w:r>
          </w:p>
        </w:tc>
      </w:tr>
      <w:tr w:rsidR="00FE0C75" w:rsidRPr="009360AF" w14:paraId="3D9F3740" w14:textId="77777777" w:rsidTr="00FE0C75">
        <w:tc>
          <w:tcPr>
            <w:tcW w:w="720" w:type="dxa"/>
            <w:shd w:val="clear" w:color="auto" w:fill="DBE5F1" w:themeFill="accent1" w:themeFillTint="33"/>
            <w:vAlign w:val="center"/>
          </w:tcPr>
          <w:p w14:paraId="7367CD37"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7038AC8A" w14:textId="77777777" w:rsidR="00FE0C75" w:rsidRPr="009360AF" w:rsidRDefault="00FE0C75" w:rsidP="00AE31F9">
            <w:pPr>
              <w:jc w:val="center"/>
              <w:rPr>
                <w:rFonts w:ascii="Times New Roman" w:hAnsi="Times New Roman"/>
                <w:b/>
                <w:spacing w:val="-2"/>
                <w:szCs w:val="24"/>
              </w:rPr>
            </w:pPr>
          </w:p>
        </w:tc>
        <w:tc>
          <w:tcPr>
            <w:tcW w:w="7249" w:type="dxa"/>
            <w:shd w:val="clear" w:color="auto" w:fill="DBE5F1" w:themeFill="accent1" w:themeFillTint="33"/>
          </w:tcPr>
          <w:p w14:paraId="49402A2F" w14:textId="689EFDAF" w:rsidR="00FE0C75" w:rsidRPr="009360AF" w:rsidRDefault="00FE0C75" w:rsidP="00AE31F9">
            <w:pPr>
              <w:autoSpaceDE w:val="0"/>
              <w:autoSpaceDN w:val="0"/>
              <w:adjustRightInd w:val="0"/>
              <w:jc w:val="center"/>
              <w:rPr>
                <w:rFonts w:ascii="Times New Roman" w:eastAsiaTheme="minorHAnsi" w:hAnsi="Times New Roman"/>
                <w:b/>
                <w:color w:val="000000"/>
                <w:spacing w:val="0"/>
                <w:szCs w:val="24"/>
              </w:rPr>
            </w:pPr>
            <w:r w:rsidRPr="009360AF">
              <w:rPr>
                <w:rFonts w:ascii="Times New Roman" w:hAnsi="Times New Roman"/>
                <w:b/>
                <w:bCs/>
                <w:szCs w:val="24"/>
              </w:rPr>
              <w:t>Water Quality Treatment Layer</w:t>
            </w:r>
          </w:p>
        </w:tc>
      </w:tr>
      <w:tr w:rsidR="00FE0C75" w:rsidRPr="009360AF" w14:paraId="42AF2451" w14:textId="77777777" w:rsidTr="00FE0C75">
        <w:tc>
          <w:tcPr>
            <w:tcW w:w="720" w:type="dxa"/>
            <w:shd w:val="clear" w:color="auto" w:fill="auto"/>
            <w:vAlign w:val="center"/>
          </w:tcPr>
          <w:p w14:paraId="7F3996C4"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F59D5D6" w14:textId="77777777" w:rsidR="00FE0C75" w:rsidRPr="009360AF" w:rsidRDefault="00FE0C75" w:rsidP="00AE31F9">
            <w:pPr>
              <w:jc w:val="center"/>
              <w:rPr>
                <w:rFonts w:ascii="Times New Roman" w:hAnsi="Times New Roman"/>
                <w:b/>
                <w:spacing w:val="-2"/>
                <w:szCs w:val="24"/>
              </w:rPr>
            </w:pPr>
          </w:p>
        </w:tc>
        <w:tc>
          <w:tcPr>
            <w:tcW w:w="7249" w:type="dxa"/>
            <w:shd w:val="clear" w:color="auto" w:fill="auto"/>
          </w:tcPr>
          <w:p w14:paraId="758419D8" w14:textId="1DBF6B4F" w:rsidR="00FE0C75" w:rsidRPr="00685088" w:rsidRDefault="00FE0C75" w:rsidP="00AE31F9">
            <w:pPr>
              <w:pStyle w:val="Default"/>
            </w:pPr>
            <w:r w:rsidRPr="00685088">
              <w:t xml:space="preserve">For compliance with </w:t>
            </w:r>
            <w:r w:rsidR="00685088" w:rsidRPr="00685088">
              <w:t>Core</w:t>
            </w:r>
            <w:r w:rsidRPr="00685088">
              <w:t xml:space="preserve"> Requirement #6, designs must provide the following:</w:t>
            </w:r>
          </w:p>
          <w:p w14:paraId="67E06236" w14:textId="3BAC25B7" w:rsidR="00FE0C75" w:rsidRPr="00685088" w:rsidRDefault="00FE0C75" w:rsidP="00AE31F9">
            <w:pPr>
              <w:pStyle w:val="Default"/>
              <w:numPr>
                <w:ilvl w:val="0"/>
                <w:numId w:val="43"/>
              </w:numPr>
            </w:pPr>
            <w:r w:rsidRPr="00685088">
              <w:t xml:space="preserve">Native underlying soil meeting soil treatment requirements, </w:t>
            </w:r>
            <w:r w:rsidRPr="00685088">
              <w:rPr>
                <w:b/>
                <w:u w:val="single"/>
              </w:rPr>
              <w:t>or</w:t>
            </w:r>
          </w:p>
          <w:p w14:paraId="146D5DAB" w14:textId="166ACC4C" w:rsidR="00FE0C75" w:rsidRPr="00685088" w:rsidRDefault="00685088" w:rsidP="00685088">
            <w:pPr>
              <w:pStyle w:val="Default"/>
              <w:numPr>
                <w:ilvl w:val="0"/>
                <w:numId w:val="43"/>
              </w:numPr>
            </w:pPr>
            <w:r w:rsidRPr="00685088">
              <w:t>6-inch layer of sand that meets the size gradation (by weight) given in Volume V, Table 7-3: Sand Medium Specification.</w:t>
            </w:r>
          </w:p>
        </w:tc>
      </w:tr>
      <w:tr w:rsidR="00FE0C75" w:rsidRPr="009360AF" w14:paraId="2D754DD2" w14:textId="77777777" w:rsidTr="00FE0C75">
        <w:tc>
          <w:tcPr>
            <w:tcW w:w="720" w:type="dxa"/>
            <w:shd w:val="clear" w:color="auto" w:fill="auto"/>
            <w:vAlign w:val="center"/>
          </w:tcPr>
          <w:p w14:paraId="19186E73" w14:textId="77777777" w:rsidR="00FE0C75" w:rsidRPr="009360AF" w:rsidRDefault="00FE0C75" w:rsidP="00AE31F9">
            <w:pPr>
              <w:jc w:val="center"/>
              <w:rPr>
                <w:rFonts w:ascii="Times New Roman" w:hAnsi="Times New Roman"/>
                <w:b/>
                <w:szCs w:val="24"/>
              </w:rPr>
            </w:pPr>
          </w:p>
        </w:tc>
        <w:tc>
          <w:tcPr>
            <w:tcW w:w="720" w:type="dxa"/>
            <w:shd w:val="clear" w:color="auto" w:fill="auto"/>
          </w:tcPr>
          <w:p w14:paraId="5951EC5F" w14:textId="77777777" w:rsidR="00FE0C75" w:rsidRPr="00BB7763" w:rsidRDefault="00FE0C75" w:rsidP="00AE31F9">
            <w:pPr>
              <w:jc w:val="center"/>
              <w:rPr>
                <w:rFonts w:ascii="Times New Roman" w:hAnsi="Times New Roman"/>
                <w:b/>
                <w:spacing w:val="-2"/>
                <w:szCs w:val="24"/>
              </w:rPr>
            </w:pPr>
          </w:p>
        </w:tc>
        <w:tc>
          <w:tcPr>
            <w:tcW w:w="7249" w:type="dxa"/>
            <w:shd w:val="clear" w:color="auto" w:fill="auto"/>
          </w:tcPr>
          <w:p w14:paraId="3B60121E" w14:textId="1C1A1304" w:rsidR="00FE0C75" w:rsidRPr="00BB7763" w:rsidRDefault="00FE0C75" w:rsidP="00AE31F9">
            <w:pPr>
              <w:autoSpaceDE w:val="0"/>
              <w:autoSpaceDN w:val="0"/>
              <w:adjustRightInd w:val="0"/>
              <w:rPr>
                <w:rFonts w:ascii="Times New Roman" w:hAnsi="Times New Roman"/>
                <w:bCs/>
                <w:szCs w:val="24"/>
              </w:rPr>
            </w:pPr>
            <w:r w:rsidRPr="00BB7763">
              <w:rPr>
                <w:rFonts w:ascii="Times New Roman" w:hAnsi="Times New Roman"/>
                <w:bCs/>
                <w:szCs w:val="24"/>
              </w:rPr>
              <w:t>Native underlying soil suitability requirements:</w:t>
            </w:r>
          </w:p>
          <w:p w14:paraId="23937CE9" w14:textId="33BD3969" w:rsidR="00FE0C75" w:rsidRPr="00BB7763" w:rsidRDefault="00FE0C75" w:rsidP="00AE31F9">
            <w:pPr>
              <w:pStyle w:val="ListParagraph"/>
              <w:numPr>
                <w:ilvl w:val="0"/>
                <w:numId w:val="44"/>
              </w:numPr>
              <w:autoSpaceDE w:val="0"/>
              <w:autoSpaceDN w:val="0"/>
              <w:adjustRightInd w:val="0"/>
              <w:rPr>
                <w:rFonts w:ascii="Times New Roman" w:hAnsi="Times New Roman"/>
                <w:szCs w:val="24"/>
              </w:rPr>
            </w:pPr>
            <w:r w:rsidRPr="00BB7763">
              <w:rPr>
                <w:rFonts w:ascii="Times New Roman" w:hAnsi="Times New Roman"/>
                <w:bCs/>
                <w:szCs w:val="24"/>
              </w:rPr>
              <w:t xml:space="preserve">SSC #1: </w:t>
            </w:r>
            <w:r w:rsidRPr="00BB7763">
              <w:rPr>
                <w:rFonts w:ascii="Times New Roman" w:hAnsi="Times New Roman"/>
                <w:szCs w:val="24"/>
              </w:rPr>
              <w:t>Measured (initial) saturated hydraulic conductivity of 9 inches per hour or less. Design (long-term) saturated hydraulic conductivity of up to 3 inches per hour with correction factor.</w:t>
            </w:r>
          </w:p>
          <w:p w14:paraId="1EDB4145" w14:textId="77777777" w:rsidR="00FE0C75" w:rsidRPr="00BB7763" w:rsidRDefault="00FE0C75" w:rsidP="00AE31F9">
            <w:pPr>
              <w:pStyle w:val="ListParagraph"/>
              <w:numPr>
                <w:ilvl w:val="0"/>
                <w:numId w:val="44"/>
              </w:numPr>
              <w:autoSpaceDE w:val="0"/>
              <w:autoSpaceDN w:val="0"/>
              <w:adjustRightInd w:val="0"/>
              <w:rPr>
                <w:rFonts w:ascii="Times New Roman" w:hAnsi="Times New Roman"/>
                <w:szCs w:val="24"/>
              </w:rPr>
            </w:pPr>
            <w:r w:rsidRPr="00BB7763">
              <w:rPr>
                <w:rFonts w:ascii="Times New Roman" w:hAnsi="Times New Roman"/>
                <w:bCs/>
                <w:szCs w:val="24"/>
              </w:rPr>
              <w:t>SSC #2:</w:t>
            </w:r>
          </w:p>
          <w:p w14:paraId="04D5DE1B" w14:textId="096CF4D3" w:rsidR="00FE0C75" w:rsidRPr="00BB7763" w:rsidRDefault="00FE0C75" w:rsidP="00DF082F">
            <w:pPr>
              <w:pStyle w:val="ListParagraph"/>
              <w:numPr>
                <w:ilvl w:val="1"/>
                <w:numId w:val="44"/>
              </w:numPr>
              <w:autoSpaceDE w:val="0"/>
              <w:autoSpaceDN w:val="0"/>
              <w:adjustRightInd w:val="0"/>
              <w:rPr>
                <w:rFonts w:ascii="Times New Roman" w:hAnsi="Times New Roman"/>
                <w:szCs w:val="24"/>
              </w:rPr>
            </w:pPr>
            <w:r w:rsidRPr="00BB7763">
              <w:rPr>
                <w:rFonts w:ascii="Times New Roman" w:hAnsi="Times New Roman"/>
                <w:bCs/>
                <w:szCs w:val="24"/>
              </w:rPr>
              <w:t>Cation Exchange Capacity (CEC):</w:t>
            </w:r>
            <w:r w:rsidRPr="00BB7763">
              <w:rPr>
                <w:rFonts w:ascii="Times New Roman" w:hAnsi="Times New Roman"/>
                <w:szCs w:val="24"/>
              </w:rPr>
              <w:t xml:space="preserve"> ≥ 5 milliequivalents/100 grams of dry soil </w:t>
            </w:r>
          </w:p>
          <w:p w14:paraId="10C78FB5" w14:textId="33F9003F" w:rsidR="00FE0C75" w:rsidRPr="00BB7763" w:rsidRDefault="00FE0C75" w:rsidP="00AE31F9">
            <w:pPr>
              <w:pStyle w:val="ListParagraph"/>
              <w:numPr>
                <w:ilvl w:val="1"/>
                <w:numId w:val="44"/>
              </w:numPr>
              <w:autoSpaceDE w:val="0"/>
              <w:autoSpaceDN w:val="0"/>
              <w:adjustRightInd w:val="0"/>
              <w:rPr>
                <w:rFonts w:ascii="Times New Roman" w:hAnsi="Times New Roman"/>
                <w:szCs w:val="24"/>
              </w:rPr>
            </w:pPr>
            <w:r w:rsidRPr="00BB7763">
              <w:rPr>
                <w:rFonts w:ascii="Times New Roman" w:hAnsi="Times New Roman"/>
                <w:bCs/>
                <w:szCs w:val="24"/>
              </w:rPr>
              <w:t>Organic matter content</w:t>
            </w:r>
            <w:r w:rsidRPr="00BB7763">
              <w:rPr>
                <w:rFonts w:ascii="Times New Roman" w:hAnsi="Times New Roman"/>
                <w:szCs w:val="24"/>
              </w:rPr>
              <w:t>: 1% minimum (ASTM D2974)</w:t>
            </w:r>
            <w:r w:rsidRPr="00BB7763">
              <w:rPr>
                <w:rFonts w:ascii="Times New Roman" w:hAnsi="Times New Roman"/>
                <w:color w:val="FF0000"/>
                <w:szCs w:val="24"/>
              </w:rPr>
              <w:t xml:space="preserve"> </w:t>
            </w:r>
          </w:p>
          <w:p w14:paraId="36E5EB01" w14:textId="5485965C" w:rsidR="00FE0C75" w:rsidRPr="00BB7763" w:rsidRDefault="00FE0C75" w:rsidP="00AE31F9">
            <w:pPr>
              <w:pStyle w:val="ListParagraph"/>
              <w:numPr>
                <w:ilvl w:val="1"/>
                <w:numId w:val="44"/>
              </w:numPr>
              <w:autoSpaceDE w:val="0"/>
              <w:autoSpaceDN w:val="0"/>
              <w:adjustRightInd w:val="0"/>
              <w:rPr>
                <w:rFonts w:ascii="Times New Roman" w:hAnsi="Times New Roman"/>
                <w:b/>
                <w:szCs w:val="24"/>
              </w:rPr>
            </w:pPr>
            <w:r w:rsidRPr="00BB7763">
              <w:rPr>
                <w:rFonts w:ascii="Times New Roman" w:hAnsi="Times New Roman"/>
                <w:szCs w:val="24"/>
              </w:rPr>
              <w:t>Depth of Treatment Soil: Depth of soil below permeable pavements serving as pollution-generating hard surfaces are at least 1 foot if the permeable pavement does not accept run</w:t>
            </w:r>
            <w:r w:rsidR="00BB7763" w:rsidRPr="00BB7763">
              <w:rPr>
                <w:rFonts w:ascii="Times New Roman" w:hAnsi="Times New Roman"/>
                <w:szCs w:val="24"/>
              </w:rPr>
              <w:t>-</w:t>
            </w:r>
            <w:r w:rsidRPr="00BB7763">
              <w:rPr>
                <w:rFonts w:ascii="Times New Roman" w:hAnsi="Times New Roman"/>
                <w:szCs w:val="24"/>
              </w:rPr>
              <w:t>on from other surfaces.</w:t>
            </w:r>
          </w:p>
        </w:tc>
      </w:tr>
      <w:tr w:rsidR="00FE0C75" w:rsidRPr="009360AF" w14:paraId="14451F7C" w14:textId="77777777" w:rsidTr="00FE0C75">
        <w:tc>
          <w:tcPr>
            <w:tcW w:w="720" w:type="dxa"/>
            <w:shd w:val="clear" w:color="auto" w:fill="DBE5F1" w:themeFill="accent1" w:themeFillTint="33"/>
            <w:vAlign w:val="center"/>
          </w:tcPr>
          <w:p w14:paraId="2A2FAABF" w14:textId="77777777" w:rsidR="00FE0C75" w:rsidRPr="009360AF" w:rsidRDefault="00FE0C75" w:rsidP="000179B6">
            <w:pPr>
              <w:jc w:val="center"/>
              <w:rPr>
                <w:rFonts w:ascii="Times New Roman" w:hAnsi="Times New Roman"/>
                <w:b/>
                <w:szCs w:val="24"/>
              </w:rPr>
            </w:pPr>
          </w:p>
        </w:tc>
        <w:tc>
          <w:tcPr>
            <w:tcW w:w="720" w:type="dxa"/>
            <w:shd w:val="clear" w:color="auto" w:fill="DBE5F1" w:themeFill="accent1" w:themeFillTint="33"/>
          </w:tcPr>
          <w:p w14:paraId="01B626A0" w14:textId="77777777" w:rsidR="00FE0C75" w:rsidRPr="009360AF" w:rsidRDefault="00FE0C75" w:rsidP="000179B6">
            <w:pPr>
              <w:jc w:val="center"/>
              <w:rPr>
                <w:rFonts w:ascii="Times New Roman" w:hAnsi="Times New Roman"/>
                <w:b/>
                <w:spacing w:val="-2"/>
                <w:szCs w:val="24"/>
              </w:rPr>
            </w:pPr>
          </w:p>
        </w:tc>
        <w:tc>
          <w:tcPr>
            <w:tcW w:w="7249" w:type="dxa"/>
            <w:shd w:val="clear" w:color="auto" w:fill="DBE5F1" w:themeFill="accent1" w:themeFillTint="33"/>
          </w:tcPr>
          <w:p w14:paraId="43F4754F" w14:textId="47A26117" w:rsidR="00FE0C75" w:rsidRPr="009360AF" w:rsidRDefault="00FE0C75" w:rsidP="000179B6">
            <w:pPr>
              <w:autoSpaceDE w:val="0"/>
              <w:autoSpaceDN w:val="0"/>
              <w:adjustRightInd w:val="0"/>
              <w:jc w:val="center"/>
              <w:rPr>
                <w:rFonts w:ascii="Times New Roman" w:eastAsiaTheme="minorHAnsi" w:hAnsi="Times New Roman"/>
                <w:b/>
                <w:color w:val="000000"/>
                <w:spacing w:val="0"/>
                <w:szCs w:val="24"/>
              </w:rPr>
            </w:pPr>
            <w:r>
              <w:rPr>
                <w:rFonts w:ascii="Times New Roman" w:hAnsi="Times New Roman"/>
                <w:b/>
                <w:bCs/>
                <w:szCs w:val="24"/>
              </w:rPr>
              <w:t>Signage</w:t>
            </w:r>
          </w:p>
        </w:tc>
      </w:tr>
      <w:tr w:rsidR="00FE0C75" w:rsidRPr="009360AF" w14:paraId="2D0778C1" w14:textId="77777777" w:rsidTr="00FE0C75">
        <w:tc>
          <w:tcPr>
            <w:tcW w:w="720" w:type="dxa"/>
            <w:shd w:val="clear" w:color="auto" w:fill="auto"/>
            <w:vAlign w:val="center"/>
          </w:tcPr>
          <w:p w14:paraId="30DA1CE0" w14:textId="77777777" w:rsidR="00FE0C75" w:rsidRPr="009360AF" w:rsidRDefault="00FE0C75" w:rsidP="000179B6">
            <w:pPr>
              <w:jc w:val="center"/>
              <w:rPr>
                <w:rFonts w:ascii="Times New Roman" w:hAnsi="Times New Roman"/>
                <w:b/>
                <w:szCs w:val="24"/>
              </w:rPr>
            </w:pPr>
          </w:p>
        </w:tc>
        <w:tc>
          <w:tcPr>
            <w:tcW w:w="720" w:type="dxa"/>
            <w:shd w:val="clear" w:color="auto" w:fill="auto"/>
          </w:tcPr>
          <w:p w14:paraId="3A927EDD" w14:textId="77777777" w:rsidR="00FE0C75" w:rsidRPr="009360AF" w:rsidRDefault="00FE0C75" w:rsidP="000179B6">
            <w:pPr>
              <w:jc w:val="center"/>
              <w:rPr>
                <w:rFonts w:ascii="Times New Roman" w:hAnsi="Times New Roman"/>
                <w:b/>
                <w:spacing w:val="-2"/>
                <w:szCs w:val="24"/>
              </w:rPr>
            </w:pPr>
          </w:p>
        </w:tc>
        <w:tc>
          <w:tcPr>
            <w:tcW w:w="7249" w:type="dxa"/>
            <w:shd w:val="clear" w:color="auto" w:fill="auto"/>
          </w:tcPr>
          <w:p w14:paraId="07A055C7" w14:textId="0D704032" w:rsidR="00FE0C75" w:rsidRPr="002462FC" w:rsidRDefault="003C4F86" w:rsidP="0033616D">
            <w:pPr>
              <w:pStyle w:val="Default"/>
            </w:pPr>
            <w:r>
              <w:t>Informational s</w:t>
            </w:r>
            <w:r w:rsidR="00FE0C75" w:rsidRPr="003C4F86">
              <w:t xml:space="preserve">ignage is provided for permeable pavement </w:t>
            </w:r>
            <w:r w:rsidRPr="003C4F86">
              <w:t>installations upon completion of the installation</w:t>
            </w:r>
            <w:r w:rsidR="00FE0C75" w:rsidRPr="003C4F86">
              <w:t>.</w:t>
            </w:r>
          </w:p>
        </w:tc>
      </w:tr>
      <w:tr w:rsidR="00FE0C75" w:rsidRPr="009360AF" w14:paraId="7691B0C6" w14:textId="77777777" w:rsidTr="00FE0C75">
        <w:tc>
          <w:tcPr>
            <w:tcW w:w="720" w:type="dxa"/>
            <w:shd w:val="clear" w:color="auto" w:fill="B8CCE4" w:themeFill="accent1" w:themeFillTint="66"/>
            <w:vAlign w:val="center"/>
          </w:tcPr>
          <w:p w14:paraId="35B246F1" w14:textId="77777777" w:rsidR="00FE0C75" w:rsidRPr="009360AF" w:rsidRDefault="00FE0C75" w:rsidP="00AE31F9">
            <w:pPr>
              <w:jc w:val="center"/>
              <w:rPr>
                <w:rFonts w:ascii="Times New Roman" w:hAnsi="Times New Roman"/>
                <w:b/>
                <w:szCs w:val="24"/>
              </w:rPr>
            </w:pPr>
          </w:p>
        </w:tc>
        <w:tc>
          <w:tcPr>
            <w:tcW w:w="720" w:type="dxa"/>
            <w:shd w:val="clear" w:color="auto" w:fill="B8CCE4" w:themeFill="accent1" w:themeFillTint="66"/>
          </w:tcPr>
          <w:p w14:paraId="23DA8CA5" w14:textId="77777777" w:rsidR="00FE0C75" w:rsidRPr="009360AF" w:rsidRDefault="00FE0C75" w:rsidP="00AE31F9">
            <w:pPr>
              <w:jc w:val="center"/>
              <w:rPr>
                <w:rFonts w:ascii="Times New Roman" w:hAnsi="Times New Roman"/>
                <w:b/>
                <w:szCs w:val="24"/>
              </w:rPr>
            </w:pPr>
          </w:p>
        </w:tc>
        <w:tc>
          <w:tcPr>
            <w:tcW w:w="7249" w:type="dxa"/>
            <w:shd w:val="clear" w:color="auto" w:fill="B8CCE4" w:themeFill="accent1" w:themeFillTint="66"/>
          </w:tcPr>
          <w:p w14:paraId="708CADF3" w14:textId="77777777" w:rsidR="00FE0C75" w:rsidRDefault="00FE0C75" w:rsidP="00AE31F9">
            <w:pPr>
              <w:jc w:val="center"/>
              <w:rPr>
                <w:rFonts w:ascii="Times New Roman" w:hAnsi="Times New Roman"/>
                <w:b/>
                <w:szCs w:val="24"/>
              </w:rPr>
            </w:pPr>
            <w:r w:rsidRPr="009360AF">
              <w:rPr>
                <w:rFonts w:ascii="Times New Roman" w:hAnsi="Times New Roman"/>
                <w:b/>
                <w:szCs w:val="24"/>
              </w:rPr>
              <w:t xml:space="preserve">CONSTRUCTION CRITERIA </w:t>
            </w:r>
          </w:p>
          <w:p w14:paraId="40256B49" w14:textId="6EC6D5ED" w:rsidR="00FE0C75" w:rsidRPr="009360AF" w:rsidRDefault="00FE0C75" w:rsidP="00AE31F9">
            <w:pPr>
              <w:jc w:val="center"/>
              <w:rPr>
                <w:rFonts w:ascii="Times New Roman" w:hAnsi="Times New Roman"/>
                <w:b/>
                <w:szCs w:val="24"/>
              </w:rPr>
            </w:pPr>
          </w:p>
        </w:tc>
      </w:tr>
      <w:tr w:rsidR="00FE0C75" w:rsidRPr="00AC2CF4" w14:paraId="012B53AF"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915D52" w14:textId="77777777" w:rsidR="00FE0C75" w:rsidRPr="00D14EFD" w:rsidRDefault="00FE0C75" w:rsidP="00AE31F9">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B5F3E6" w14:textId="77777777" w:rsidR="00FE0C75" w:rsidRPr="00D14EFD" w:rsidRDefault="00FE0C75" w:rsidP="00AE31F9">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4E5A819D" w14:textId="17296659" w:rsidR="00FE0C75" w:rsidRPr="00244556" w:rsidRDefault="00FE0C75" w:rsidP="008E1E92">
            <w:pPr>
              <w:rPr>
                <w:rFonts w:ascii="Times New Roman" w:hAnsi="Times New Roman"/>
                <w:szCs w:val="24"/>
                <w:highlight w:val="yellow"/>
              </w:rPr>
            </w:pPr>
            <w:r w:rsidRPr="00EE7DFC">
              <w:rPr>
                <w:rFonts w:ascii="Times New Roman" w:hAnsi="Times New Roman"/>
                <w:szCs w:val="24"/>
              </w:rPr>
              <w:t>Project utilizes procedural BMPs (i.e., proper site planning and construction sequencing) to minimize the impact of construction on permanent stormwater facilities by reducing the potential for soil erosion and compaction.</w:t>
            </w:r>
          </w:p>
        </w:tc>
      </w:tr>
      <w:tr w:rsidR="00FE0C75" w:rsidRPr="00AC2CF4" w14:paraId="14126643"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6FF080" w14:textId="77777777" w:rsidR="00FE0C75" w:rsidRPr="00D14EFD" w:rsidRDefault="00FE0C75" w:rsidP="00AE31F9">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6A5D34" w14:textId="77777777" w:rsidR="00FE0C75" w:rsidRPr="00D14EFD" w:rsidRDefault="00FE0C75" w:rsidP="00AE31F9">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6F8673B9" w14:textId="0E307CF4" w:rsidR="00FE0C75" w:rsidRPr="00244556" w:rsidRDefault="00FE0C75" w:rsidP="00602488">
            <w:pPr>
              <w:rPr>
                <w:rFonts w:ascii="Times New Roman" w:hAnsi="Times New Roman"/>
                <w:szCs w:val="24"/>
                <w:highlight w:val="yellow"/>
              </w:rPr>
            </w:pPr>
            <w:r w:rsidRPr="00EE7DFC">
              <w:rPr>
                <w:rFonts w:ascii="Times New Roman" w:hAnsi="Times New Roman"/>
                <w:szCs w:val="24"/>
              </w:rPr>
              <w:t xml:space="preserve">Construction SWPPP outlines construction sequencing that will protect the permeable pavement area during construction and addresses the inspection requirements outlined below. </w:t>
            </w:r>
          </w:p>
        </w:tc>
      </w:tr>
      <w:tr w:rsidR="00FE0C75" w:rsidRPr="00AC2CF4" w14:paraId="00861F79"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72F6D6" w14:textId="77777777" w:rsidR="00FE0C75" w:rsidRPr="00D14EFD" w:rsidRDefault="00FE0C75" w:rsidP="000179B6">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74696C" w14:textId="77777777" w:rsidR="00FE0C75" w:rsidRPr="00D14EFD" w:rsidRDefault="00FE0C75" w:rsidP="000179B6">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3BFD53D6" w14:textId="77777777" w:rsidR="00FE0C75" w:rsidRPr="00244556" w:rsidRDefault="00FE0C75" w:rsidP="000179B6">
            <w:pPr>
              <w:rPr>
                <w:rFonts w:ascii="Times New Roman" w:hAnsi="Times New Roman"/>
                <w:szCs w:val="24"/>
                <w:highlight w:val="yellow"/>
              </w:rPr>
            </w:pPr>
            <w:r w:rsidRPr="00EE7DFC">
              <w:rPr>
                <w:rFonts w:ascii="Times New Roman" w:hAnsi="Times New Roman"/>
                <w:szCs w:val="24"/>
              </w:rPr>
              <w:t>The permeable pavement area is clearly identified (e.g., using flagging or high visibility fencing) and protected prior to and during construction.</w:t>
            </w:r>
          </w:p>
        </w:tc>
      </w:tr>
      <w:tr w:rsidR="00FE0C75" w:rsidRPr="00AC2CF4" w14:paraId="53006A9A"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874837" w14:textId="77777777" w:rsidR="00FE0C75" w:rsidRPr="00D14EFD" w:rsidRDefault="00FE0C75" w:rsidP="00AE31F9">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EA42AB" w14:textId="77777777" w:rsidR="00FE0C75" w:rsidRPr="00D14EFD" w:rsidRDefault="00FE0C75" w:rsidP="00AE31F9">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0C0C680D" w14:textId="77777777" w:rsidR="00FE0C75" w:rsidRPr="00244556" w:rsidRDefault="00FE0C75" w:rsidP="00AE31F9">
            <w:pPr>
              <w:rPr>
                <w:rFonts w:ascii="Times New Roman" w:hAnsi="Times New Roman"/>
                <w:szCs w:val="24"/>
                <w:highlight w:val="yellow"/>
              </w:rPr>
            </w:pPr>
            <w:r w:rsidRPr="00EE7DFC">
              <w:rPr>
                <w:rFonts w:ascii="Times New Roman" w:hAnsi="Times New Roman"/>
                <w:szCs w:val="24"/>
              </w:rPr>
              <w:t>Construction SWPPP BMPs and protection techniques are implemented as applicable. The upslope areas of construction areas are stabilized and overland flow distances are minimized.</w:t>
            </w:r>
          </w:p>
        </w:tc>
      </w:tr>
      <w:tr w:rsidR="00FE0C75" w:rsidRPr="00AC2CF4" w14:paraId="4C2CE2B6"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5FDF2A" w14:textId="77777777" w:rsidR="00FE0C75" w:rsidRPr="00D14EFD" w:rsidRDefault="00FE0C75" w:rsidP="00AE31F9">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0130DD" w14:textId="77777777" w:rsidR="00FE0C75" w:rsidRPr="00D14EFD" w:rsidRDefault="00FE0C75" w:rsidP="00AE31F9">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79BC699F" w14:textId="21FFF7B3" w:rsidR="00FE0C75" w:rsidRPr="00942280" w:rsidRDefault="00FE0C75" w:rsidP="00563350">
            <w:pPr>
              <w:rPr>
                <w:rFonts w:ascii="Times New Roman" w:hAnsi="Times New Roman"/>
                <w:szCs w:val="24"/>
              </w:rPr>
            </w:pPr>
            <w:r w:rsidRPr="00942280">
              <w:rPr>
                <w:rFonts w:ascii="Times New Roman" w:hAnsi="Times New Roman"/>
                <w:szCs w:val="24"/>
              </w:rPr>
              <w:t>Machinery is operated outside of permeable pavement area during construction. If machinery is operated in the permeable pavement area for excavation, lightweight, low ground-contact pressure equipment is utilized and the base soil is scarified to a minimum of 12 inches at completion.</w:t>
            </w:r>
          </w:p>
        </w:tc>
      </w:tr>
      <w:tr w:rsidR="00FE0C75" w:rsidRPr="00A24851" w14:paraId="41C76800" w14:textId="77777777" w:rsidTr="00FE0C7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0AEEEC" w14:textId="77777777" w:rsidR="00FE0C75" w:rsidRPr="003B1B3E" w:rsidRDefault="00FE0C75" w:rsidP="00AE31F9">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7C97D8" w14:textId="77777777" w:rsidR="00FE0C75" w:rsidRPr="00EE7DFC" w:rsidRDefault="00FE0C75" w:rsidP="00AE31F9">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58DA1794" w14:textId="4FCFA8B1" w:rsidR="00FE0C75" w:rsidRPr="00EE7DFC" w:rsidRDefault="00FE0C75" w:rsidP="00602488">
            <w:pPr>
              <w:rPr>
                <w:rFonts w:ascii="Times New Roman" w:hAnsi="Times New Roman"/>
                <w:szCs w:val="24"/>
              </w:rPr>
            </w:pPr>
            <w:r w:rsidRPr="00EE7DFC">
              <w:rPr>
                <w:rFonts w:ascii="Times New Roman" w:hAnsi="Times New Roman"/>
                <w:szCs w:val="24"/>
              </w:rPr>
              <w:t>No excavation of permeable pavement areas during wet or saturated conditions.</w:t>
            </w:r>
          </w:p>
        </w:tc>
      </w:tr>
      <w:tr w:rsidR="00FE0C75" w:rsidRPr="009360AF" w14:paraId="15F57F1F" w14:textId="77777777" w:rsidTr="00FE0C75">
        <w:tc>
          <w:tcPr>
            <w:tcW w:w="720" w:type="dxa"/>
            <w:vAlign w:val="center"/>
          </w:tcPr>
          <w:p w14:paraId="451A655C" w14:textId="77777777" w:rsidR="00FE0C75" w:rsidRPr="009360AF" w:rsidRDefault="00FE0C75" w:rsidP="00AE31F9">
            <w:pPr>
              <w:jc w:val="center"/>
              <w:rPr>
                <w:rFonts w:ascii="Times New Roman" w:hAnsi="Times New Roman"/>
                <w:b/>
                <w:szCs w:val="24"/>
              </w:rPr>
            </w:pPr>
          </w:p>
        </w:tc>
        <w:tc>
          <w:tcPr>
            <w:tcW w:w="720" w:type="dxa"/>
          </w:tcPr>
          <w:p w14:paraId="7CEAFC1B" w14:textId="77777777" w:rsidR="00FE0C75" w:rsidRPr="009360AF" w:rsidRDefault="00FE0C75" w:rsidP="00AE31F9">
            <w:pPr>
              <w:pStyle w:val="PlainText"/>
              <w:jc w:val="center"/>
              <w:rPr>
                <w:rFonts w:ascii="Times New Roman" w:hAnsi="Times New Roman"/>
                <w:b/>
                <w:sz w:val="24"/>
                <w:szCs w:val="24"/>
              </w:rPr>
            </w:pPr>
          </w:p>
        </w:tc>
        <w:tc>
          <w:tcPr>
            <w:tcW w:w="7249" w:type="dxa"/>
          </w:tcPr>
          <w:p w14:paraId="005D4A3C" w14:textId="78BC056E" w:rsidR="00FE0C75" w:rsidRPr="00942280" w:rsidRDefault="00FE0C75" w:rsidP="00AE31F9">
            <w:pPr>
              <w:pStyle w:val="Default"/>
            </w:pPr>
            <w:r w:rsidRPr="00942280">
              <w:t xml:space="preserve">Installation of permeable pavement is according to manufacturer recommendations. </w:t>
            </w:r>
          </w:p>
        </w:tc>
      </w:tr>
      <w:tr w:rsidR="00FE0C75" w:rsidRPr="009360AF" w14:paraId="23A1B564" w14:textId="77777777" w:rsidTr="00FE0C75">
        <w:tc>
          <w:tcPr>
            <w:tcW w:w="720" w:type="dxa"/>
            <w:vAlign w:val="center"/>
          </w:tcPr>
          <w:p w14:paraId="0BAECEFF" w14:textId="77777777" w:rsidR="00FE0C75" w:rsidRPr="009360AF" w:rsidRDefault="00FE0C75" w:rsidP="00AE31F9">
            <w:pPr>
              <w:jc w:val="center"/>
              <w:rPr>
                <w:rFonts w:ascii="Times New Roman" w:hAnsi="Times New Roman"/>
                <w:b/>
                <w:szCs w:val="24"/>
              </w:rPr>
            </w:pPr>
          </w:p>
        </w:tc>
        <w:tc>
          <w:tcPr>
            <w:tcW w:w="720" w:type="dxa"/>
          </w:tcPr>
          <w:p w14:paraId="4C47BA1E" w14:textId="77777777" w:rsidR="00FE0C75" w:rsidRPr="009360AF" w:rsidRDefault="00FE0C75" w:rsidP="00AE31F9">
            <w:pPr>
              <w:pStyle w:val="PlainText"/>
              <w:jc w:val="center"/>
              <w:rPr>
                <w:rFonts w:ascii="Times New Roman" w:hAnsi="Times New Roman"/>
                <w:b/>
                <w:sz w:val="24"/>
                <w:szCs w:val="24"/>
              </w:rPr>
            </w:pPr>
          </w:p>
        </w:tc>
        <w:tc>
          <w:tcPr>
            <w:tcW w:w="7249" w:type="dxa"/>
          </w:tcPr>
          <w:p w14:paraId="76BBF48D" w14:textId="2CC79B1B" w:rsidR="00FE0C75" w:rsidRPr="00942280" w:rsidRDefault="00FE0C75" w:rsidP="00AE31F9">
            <w:pPr>
              <w:pStyle w:val="Default"/>
            </w:pPr>
            <w:r w:rsidRPr="00942280">
              <w:t xml:space="preserve">Field infiltration and compaction testing of the optional water quality treatment course is conducted prior to placement of overlying courses. </w:t>
            </w:r>
          </w:p>
        </w:tc>
      </w:tr>
      <w:tr w:rsidR="00FE0C75" w:rsidRPr="009360AF" w14:paraId="616A853B" w14:textId="77777777" w:rsidTr="00FE0C75">
        <w:tc>
          <w:tcPr>
            <w:tcW w:w="720" w:type="dxa"/>
            <w:vAlign w:val="center"/>
          </w:tcPr>
          <w:p w14:paraId="57FFCB81" w14:textId="77777777" w:rsidR="00FE0C75" w:rsidRPr="009360AF" w:rsidRDefault="00FE0C75" w:rsidP="00AE31F9">
            <w:pPr>
              <w:jc w:val="center"/>
              <w:rPr>
                <w:rFonts w:ascii="Times New Roman" w:hAnsi="Times New Roman"/>
                <w:b/>
                <w:szCs w:val="24"/>
              </w:rPr>
            </w:pPr>
          </w:p>
        </w:tc>
        <w:tc>
          <w:tcPr>
            <w:tcW w:w="720" w:type="dxa"/>
          </w:tcPr>
          <w:p w14:paraId="0B2EEF0E" w14:textId="77777777" w:rsidR="00FE0C75" w:rsidRPr="00EE7DFC" w:rsidRDefault="00FE0C75" w:rsidP="00AE31F9">
            <w:pPr>
              <w:pStyle w:val="PlainText"/>
              <w:jc w:val="center"/>
              <w:rPr>
                <w:rFonts w:ascii="Times New Roman" w:hAnsi="Times New Roman"/>
                <w:b/>
                <w:sz w:val="24"/>
                <w:szCs w:val="24"/>
              </w:rPr>
            </w:pPr>
          </w:p>
        </w:tc>
        <w:tc>
          <w:tcPr>
            <w:tcW w:w="7249" w:type="dxa"/>
          </w:tcPr>
          <w:p w14:paraId="1F827489" w14:textId="1CCCC0F3" w:rsidR="00FE0C75" w:rsidRPr="00EE7DFC" w:rsidRDefault="00FE0C75" w:rsidP="00AE31F9">
            <w:pPr>
              <w:pStyle w:val="Default"/>
            </w:pPr>
            <w:r w:rsidRPr="00EE7DFC">
              <w:t xml:space="preserve">To prevent compaction when installing the aggregate storage reservoir, the following steps (back-dumping) are followed: </w:t>
            </w:r>
          </w:p>
          <w:p w14:paraId="06447432" w14:textId="77777777" w:rsidR="00FE0C75" w:rsidRPr="00EE7DFC" w:rsidRDefault="00FE0C75" w:rsidP="00AE31F9">
            <w:pPr>
              <w:pStyle w:val="Default"/>
              <w:numPr>
                <w:ilvl w:val="0"/>
                <w:numId w:val="32"/>
              </w:numPr>
            </w:pPr>
            <w:r w:rsidRPr="00EE7DFC">
              <w:t xml:space="preserve">The aggregate storage reservoir is dumped onto the subgrade from the edge of the installation and the aggregate is then pushed out onto the subgrade </w:t>
            </w:r>
          </w:p>
          <w:p w14:paraId="2295A1BD" w14:textId="747FEB17" w:rsidR="00FE0C75" w:rsidRPr="00EE7DFC" w:rsidRDefault="00FE0C75" w:rsidP="00AE31F9">
            <w:pPr>
              <w:pStyle w:val="Default"/>
              <w:numPr>
                <w:ilvl w:val="0"/>
                <w:numId w:val="32"/>
              </w:numPr>
            </w:pPr>
            <w:r w:rsidRPr="00EE7DFC">
              <w:t xml:space="preserve">Trucks then dump subsequent loads from on top of the aggregate storage reservoir as the installation progresses. </w:t>
            </w:r>
          </w:p>
        </w:tc>
      </w:tr>
      <w:tr w:rsidR="00FE0C75" w:rsidRPr="009360AF" w14:paraId="2E6631D4" w14:textId="77777777" w:rsidTr="00FE0C75">
        <w:tc>
          <w:tcPr>
            <w:tcW w:w="720" w:type="dxa"/>
            <w:vAlign w:val="center"/>
          </w:tcPr>
          <w:p w14:paraId="409CA69D" w14:textId="77777777" w:rsidR="00FE0C75" w:rsidRPr="009360AF" w:rsidRDefault="00FE0C75" w:rsidP="00AE31F9">
            <w:pPr>
              <w:jc w:val="center"/>
              <w:rPr>
                <w:rFonts w:ascii="Times New Roman" w:hAnsi="Times New Roman"/>
                <w:b/>
                <w:szCs w:val="24"/>
              </w:rPr>
            </w:pPr>
          </w:p>
        </w:tc>
        <w:tc>
          <w:tcPr>
            <w:tcW w:w="720" w:type="dxa"/>
          </w:tcPr>
          <w:p w14:paraId="0A031A54" w14:textId="77777777" w:rsidR="00FE0C75" w:rsidRPr="009360AF" w:rsidRDefault="00FE0C75" w:rsidP="00AE31F9">
            <w:pPr>
              <w:jc w:val="center"/>
              <w:rPr>
                <w:rFonts w:ascii="Times New Roman" w:hAnsi="Times New Roman"/>
                <w:b/>
                <w:szCs w:val="24"/>
              </w:rPr>
            </w:pPr>
          </w:p>
        </w:tc>
        <w:tc>
          <w:tcPr>
            <w:tcW w:w="7249" w:type="dxa"/>
          </w:tcPr>
          <w:p w14:paraId="1A0E3724" w14:textId="025FA4A8" w:rsidR="00FE0C75" w:rsidRPr="00942280" w:rsidRDefault="00FE0C75" w:rsidP="00AE31F9">
            <w:pPr>
              <w:pStyle w:val="Default"/>
            </w:pPr>
            <w:r w:rsidRPr="00942280">
              <w:t xml:space="preserve">The various aggregate storage reservoir materials are prevented from intermixing with fines and sediment. All contaminated material are removed and replaced. </w:t>
            </w:r>
          </w:p>
        </w:tc>
      </w:tr>
      <w:tr w:rsidR="00FE0C75" w:rsidRPr="009360AF" w14:paraId="3F32CCDE" w14:textId="15CFBAF0" w:rsidTr="00FE0C75">
        <w:trPr>
          <w:trHeight w:val="323"/>
        </w:trPr>
        <w:tc>
          <w:tcPr>
            <w:tcW w:w="720" w:type="dxa"/>
            <w:vAlign w:val="center"/>
          </w:tcPr>
          <w:p w14:paraId="0A57C5B6" w14:textId="4B8D481A" w:rsidR="00FE0C75" w:rsidRPr="009360AF" w:rsidRDefault="00FE0C75" w:rsidP="00AE31F9">
            <w:pPr>
              <w:jc w:val="center"/>
              <w:rPr>
                <w:rFonts w:ascii="Times New Roman" w:hAnsi="Times New Roman"/>
                <w:b/>
                <w:szCs w:val="24"/>
              </w:rPr>
            </w:pPr>
          </w:p>
        </w:tc>
        <w:tc>
          <w:tcPr>
            <w:tcW w:w="720" w:type="dxa"/>
          </w:tcPr>
          <w:p w14:paraId="63153048" w14:textId="0613E7BD" w:rsidR="00FE0C75" w:rsidRPr="009360AF" w:rsidRDefault="00FE0C75" w:rsidP="00AE31F9">
            <w:pPr>
              <w:jc w:val="center"/>
              <w:rPr>
                <w:rFonts w:ascii="Times New Roman" w:hAnsi="Times New Roman"/>
                <w:b/>
                <w:szCs w:val="24"/>
              </w:rPr>
            </w:pPr>
          </w:p>
        </w:tc>
        <w:tc>
          <w:tcPr>
            <w:tcW w:w="7249" w:type="dxa"/>
          </w:tcPr>
          <w:p w14:paraId="4FF68400" w14:textId="4B5E9C9E" w:rsidR="00FE0C75" w:rsidRPr="00942280" w:rsidRDefault="00FE0C75" w:rsidP="00AE31F9">
            <w:pPr>
              <w:pStyle w:val="Default"/>
            </w:pPr>
            <w:r w:rsidRPr="00942280">
              <w:t xml:space="preserve">Protective surfaces (e.g., waterproof tarps and steel plates) are placed over any permeable pavement areas used for construction staging. </w:t>
            </w:r>
          </w:p>
        </w:tc>
      </w:tr>
      <w:tr w:rsidR="00FE0C75" w:rsidRPr="009360AF" w14:paraId="007F0345" w14:textId="4BED8D34" w:rsidTr="00FE0C75">
        <w:trPr>
          <w:trHeight w:val="323"/>
        </w:trPr>
        <w:tc>
          <w:tcPr>
            <w:tcW w:w="720" w:type="dxa"/>
            <w:vAlign w:val="center"/>
          </w:tcPr>
          <w:p w14:paraId="2385851B" w14:textId="3844334B" w:rsidR="00FE0C75" w:rsidRPr="009360AF" w:rsidRDefault="00FE0C75" w:rsidP="00AE31F9">
            <w:pPr>
              <w:rPr>
                <w:rFonts w:ascii="Times New Roman" w:hAnsi="Times New Roman"/>
                <w:szCs w:val="24"/>
              </w:rPr>
            </w:pPr>
          </w:p>
        </w:tc>
        <w:tc>
          <w:tcPr>
            <w:tcW w:w="720" w:type="dxa"/>
          </w:tcPr>
          <w:p w14:paraId="39B6D9A4" w14:textId="2B7094F2" w:rsidR="00FE0C75" w:rsidRPr="009360AF" w:rsidRDefault="00FE0C75" w:rsidP="00AE31F9">
            <w:pPr>
              <w:rPr>
                <w:rFonts w:ascii="Times New Roman" w:hAnsi="Times New Roman"/>
                <w:szCs w:val="24"/>
              </w:rPr>
            </w:pPr>
          </w:p>
        </w:tc>
        <w:tc>
          <w:tcPr>
            <w:tcW w:w="7249" w:type="dxa"/>
          </w:tcPr>
          <w:p w14:paraId="21D4EC6E" w14:textId="46E9DA4B" w:rsidR="00FE0C75" w:rsidRPr="00942280" w:rsidRDefault="00FE0C75" w:rsidP="00AE31F9">
            <w:pPr>
              <w:pStyle w:val="Default"/>
            </w:pPr>
            <w:r w:rsidRPr="00942280">
              <w:t>Sediment-laden construction equipment is not driven on the base material or pavement. Sediment-laden runoff is not allowed to run</w:t>
            </w:r>
            <w:r w:rsidR="00942280" w:rsidRPr="00942280">
              <w:t>-</w:t>
            </w:r>
            <w:r w:rsidRPr="00942280">
              <w:t xml:space="preserve">on to permeable pavements or base materials. </w:t>
            </w:r>
          </w:p>
        </w:tc>
      </w:tr>
      <w:tr w:rsidR="00FE0C75" w:rsidRPr="009360AF" w14:paraId="0C20563A" w14:textId="297DC542" w:rsidTr="00FE0C75">
        <w:tc>
          <w:tcPr>
            <w:tcW w:w="720" w:type="dxa"/>
            <w:vAlign w:val="center"/>
          </w:tcPr>
          <w:p w14:paraId="4154A10B" w14:textId="31DCAFD0" w:rsidR="00FE0C75" w:rsidRPr="009360AF" w:rsidRDefault="00FE0C75" w:rsidP="00AE31F9">
            <w:pPr>
              <w:rPr>
                <w:rFonts w:ascii="Times New Roman" w:hAnsi="Times New Roman"/>
                <w:szCs w:val="24"/>
              </w:rPr>
            </w:pPr>
          </w:p>
        </w:tc>
        <w:tc>
          <w:tcPr>
            <w:tcW w:w="720" w:type="dxa"/>
          </w:tcPr>
          <w:p w14:paraId="3841DBBB" w14:textId="7A517D20" w:rsidR="00FE0C75" w:rsidRPr="009360AF" w:rsidRDefault="00FE0C75" w:rsidP="00AE31F9">
            <w:pPr>
              <w:rPr>
                <w:rFonts w:ascii="Times New Roman" w:hAnsi="Times New Roman"/>
                <w:szCs w:val="24"/>
              </w:rPr>
            </w:pPr>
          </w:p>
        </w:tc>
        <w:tc>
          <w:tcPr>
            <w:tcW w:w="7249" w:type="dxa"/>
          </w:tcPr>
          <w:p w14:paraId="7C315895" w14:textId="010559F4" w:rsidR="00FE0C75" w:rsidRPr="00244556" w:rsidRDefault="00FE0C75" w:rsidP="007B6848">
            <w:pPr>
              <w:pStyle w:val="Default"/>
              <w:rPr>
                <w:highlight w:val="yellow"/>
              </w:rPr>
            </w:pPr>
            <w:r w:rsidRPr="00942280">
              <w:t xml:space="preserve">Once the pavement is finished and set, cover with plastic and geotextile to protect from other construction activities. Close the pavement area and protect until the site is permanently stabilized. </w:t>
            </w:r>
          </w:p>
        </w:tc>
      </w:tr>
      <w:tr w:rsidR="00FE0C75" w:rsidRPr="009360AF" w14:paraId="64413675" w14:textId="77777777" w:rsidTr="00FE0C75">
        <w:tc>
          <w:tcPr>
            <w:tcW w:w="720" w:type="dxa"/>
            <w:vAlign w:val="center"/>
          </w:tcPr>
          <w:p w14:paraId="04F12A9D" w14:textId="77777777" w:rsidR="00FE0C75" w:rsidRPr="009360AF" w:rsidRDefault="00FE0C75" w:rsidP="00AE31F9">
            <w:pPr>
              <w:rPr>
                <w:rFonts w:ascii="Times New Roman" w:hAnsi="Times New Roman"/>
                <w:szCs w:val="24"/>
              </w:rPr>
            </w:pPr>
          </w:p>
        </w:tc>
        <w:tc>
          <w:tcPr>
            <w:tcW w:w="720" w:type="dxa"/>
          </w:tcPr>
          <w:p w14:paraId="32FC75D8" w14:textId="77777777" w:rsidR="00FE0C75" w:rsidRPr="009360AF" w:rsidRDefault="00FE0C75" w:rsidP="00AE31F9">
            <w:pPr>
              <w:rPr>
                <w:rFonts w:ascii="Times New Roman" w:hAnsi="Times New Roman"/>
                <w:szCs w:val="24"/>
              </w:rPr>
            </w:pPr>
          </w:p>
        </w:tc>
        <w:tc>
          <w:tcPr>
            <w:tcW w:w="7249" w:type="dxa"/>
          </w:tcPr>
          <w:p w14:paraId="1A41AAC6" w14:textId="34D3201D" w:rsidR="00FE0C75" w:rsidRPr="00942280" w:rsidRDefault="00FE0C75" w:rsidP="00AE31F9">
            <w:pPr>
              <w:pStyle w:val="Default"/>
            </w:pPr>
            <w:r w:rsidRPr="00942280">
              <w:t>If possible, temporary roads are used during construction and final construction of the aggregate storage reservoir material and permeable surfacing completed after building construction is complete.</w:t>
            </w:r>
          </w:p>
        </w:tc>
      </w:tr>
      <w:tr w:rsidR="00FE0C75" w:rsidRPr="009360AF" w14:paraId="174FD072" w14:textId="77777777" w:rsidTr="00FE0C75">
        <w:tc>
          <w:tcPr>
            <w:tcW w:w="720" w:type="dxa"/>
            <w:vAlign w:val="center"/>
          </w:tcPr>
          <w:p w14:paraId="5EC95529" w14:textId="77777777" w:rsidR="00FE0C75" w:rsidRPr="009360AF" w:rsidRDefault="00FE0C75" w:rsidP="00AE31F9">
            <w:pPr>
              <w:rPr>
                <w:rFonts w:ascii="Times New Roman" w:hAnsi="Times New Roman"/>
                <w:szCs w:val="24"/>
              </w:rPr>
            </w:pPr>
          </w:p>
        </w:tc>
        <w:tc>
          <w:tcPr>
            <w:tcW w:w="720" w:type="dxa"/>
          </w:tcPr>
          <w:p w14:paraId="6CD4DC6F" w14:textId="77777777" w:rsidR="00FE0C75" w:rsidRPr="009360AF" w:rsidRDefault="00FE0C75" w:rsidP="00AE31F9">
            <w:pPr>
              <w:rPr>
                <w:rFonts w:ascii="Times New Roman" w:hAnsi="Times New Roman"/>
                <w:szCs w:val="24"/>
              </w:rPr>
            </w:pPr>
          </w:p>
        </w:tc>
        <w:tc>
          <w:tcPr>
            <w:tcW w:w="7249" w:type="dxa"/>
          </w:tcPr>
          <w:p w14:paraId="7DAAE153" w14:textId="49D60A26" w:rsidR="00FE0C75" w:rsidRPr="00942280" w:rsidRDefault="00FE0C75" w:rsidP="00AE31F9">
            <w:pPr>
              <w:pStyle w:val="Default"/>
            </w:pPr>
            <w:r w:rsidRPr="00942280">
              <w:t xml:space="preserve">Measures are incorporated to protect the road subgrade from over compaction and sedimentation if permeable pavement roads are used for construction access. </w:t>
            </w:r>
          </w:p>
          <w:p w14:paraId="1F932EDB" w14:textId="7CDFFA20" w:rsidR="00FE0C75" w:rsidRPr="00942280" w:rsidRDefault="00FE0C75" w:rsidP="00AE31F9">
            <w:pPr>
              <w:pStyle w:val="Default"/>
              <w:numPr>
                <w:ilvl w:val="0"/>
                <w:numId w:val="32"/>
              </w:numPr>
            </w:pPr>
            <w:r w:rsidRPr="00942280">
              <w:t xml:space="preserve">The aggregate base or pavement surface is covered with protective geotextile fabric and protect fabric with steel plates or gravel. Gravel is only used to protect the fabric placed over aggregate base. </w:t>
            </w:r>
          </w:p>
          <w:p w14:paraId="3D1986A9" w14:textId="780C5737" w:rsidR="00FE0C75" w:rsidRPr="00942280" w:rsidRDefault="00FE0C75" w:rsidP="00AE31F9">
            <w:pPr>
              <w:pStyle w:val="Default"/>
              <w:numPr>
                <w:ilvl w:val="0"/>
                <w:numId w:val="34"/>
              </w:numPr>
            </w:pPr>
            <w:r w:rsidRPr="00942280">
              <w:t xml:space="preserve">Once construction is complete and the site is permanently stabilized, the protective geotextile is removed, and the pavement installation is cleaned and completed. </w:t>
            </w:r>
          </w:p>
        </w:tc>
      </w:tr>
      <w:tr w:rsidR="00FE0C75" w:rsidRPr="009360AF" w14:paraId="38F3F6EA" w14:textId="77777777" w:rsidTr="00FE0C75">
        <w:tc>
          <w:tcPr>
            <w:tcW w:w="720" w:type="dxa"/>
            <w:shd w:val="clear" w:color="auto" w:fill="B8CCE4" w:themeFill="accent1" w:themeFillTint="66"/>
            <w:vAlign w:val="center"/>
          </w:tcPr>
          <w:p w14:paraId="43BAE7B6" w14:textId="77777777" w:rsidR="00FE0C75" w:rsidRPr="009360AF" w:rsidRDefault="00FE0C75" w:rsidP="00AE31F9">
            <w:pPr>
              <w:jc w:val="center"/>
              <w:rPr>
                <w:rFonts w:ascii="Times New Roman" w:hAnsi="Times New Roman"/>
                <w:b/>
                <w:szCs w:val="24"/>
              </w:rPr>
            </w:pPr>
          </w:p>
        </w:tc>
        <w:tc>
          <w:tcPr>
            <w:tcW w:w="720" w:type="dxa"/>
            <w:shd w:val="clear" w:color="auto" w:fill="B8CCE4" w:themeFill="accent1" w:themeFillTint="66"/>
          </w:tcPr>
          <w:p w14:paraId="36D83241" w14:textId="77777777" w:rsidR="00FE0C75" w:rsidRPr="009360AF" w:rsidRDefault="00FE0C75" w:rsidP="00AE31F9">
            <w:pPr>
              <w:jc w:val="center"/>
              <w:rPr>
                <w:rFonts w:ascii="Times New Roman" w:hAnsi="Times New Roman"/>
                <w:b/>
                <w:szCs w:val="24"/>
              </w:rPr>
            </w:pPr>
          </w:p>
        </w:tc>
        <w:tc>
          <w:tcPr>
            <w:tcW w:w="7249" w:type="dxa"/>
            <w:shd w:val="clear" w:color="auto" w:fill="B8CCE4" w:themeFill="accent1" w:themeFillTint="66"/>
          </w:tcPr>
          <w:p w14:paraId="6E2267C6" w14:textId="77777777" w:rsidR="00FE0C75" w:rsidRPr="009360AF" w:rsidRDefault="00FE0C75" w:rsidP="00AE31F9">
            <w:pPr>
              <w:jc w:val="center"/>
              <w:rPr>
                <w:rFonts w:ascii="Times New Roman" w:hAnsi="Times New Roman"/>
                <w:b/>
                <w:szCs w:val="24"/>
              </w:rPr>
            </w:pPr>
            <w:r w:rsidRPr="009360AF">
              <w:rPr>
                <w:rFonts w:ascii="Times New Roman" w:hAnsi="Times New Roman"/>
                <w:b/>
                <w:szCs w:val="24"/>
              </w:rPr>
              <w:t>INSPECTION CRITERIA</w:t>
            </w:r>
          </w:p>
        </w:tc>
      </w:tr>
      <w:tr w:rsidR="00FE0C75" w:rsidRPr="009360AF" w14:paraId="21BD4561" w14:textId="77777777" w:rsidTr="00FE0C75">
        <w:tc>
          <w:tcPr>
            <w:tcW w:w="720" w:type="dxa"/>
            <w:vAlign w:val="center"/>
          </w:tcPr>
          <w:p w14:paraId="74A9D374" w14:textId="77777777" w:rsidR="00FE0C75" w:rsidRPr="009360AF" w:rsidRDefault="00FE0C75" w:rsidP="00AE31F9">
            <w:pPr>
              <w:jc w:val="center"/>
              <w:rPr>
                <w:rFonts w:ascii="Times New Roman" w:hAnsi="Times New Roman"/>
                <w:b/>
                <w:szCs w:val="24"/>
              </w:rPr>
            </w:pPr>
          </w:p>
        </w:tc>
        <w:tc>
          <w:tcPr>
            <w:tcW w:w="720" w:type="dxa"/>
          </w:tcPr>
          <w:p w14:paraId="4438D569" w14:textId="77777777" w:rsidR="00FE0C75" w:rsidRPr="009360AF" w:rsidRDefault="00FE0C75" w:rsidP="00AE31F9">
            <w:pPr>
              <w:jc w:val="center"/>
              <w:rPr>
                <w:rFonts w:ascii="Times New Roman" w:hAnsi="Times New Roman"/>
                <w:b/>
                <w:szCs w:val="24"/>
              </w:rPr>
            </w:pPr>
          </w:p>
        </w:tc>
        <w:tc>
          <w:tcPr>
            <w:tcW w:w="7249" w:type="dxa"/>
          </w:tcPr>
          <w:p w14:paraId="5B4C85FE" w14:textId="73DBD764" w:rsidR="00FE0C75" w:rsidRPr="009360AF" w:rsidRDefault="00FE0C75" w:rsidP="00AE31F9">
            <w:pPr>
              <w:rPr>
                <w:rFonts w:ascii="Times New Roman" w:hAnsi="Times New Roman"/>
                <w:szCs w:val="24"/>
              </w:rPr>
            </w:pPr>
            <w:r w:rsidRPr="009360AF">
              <w:rPr>
                <w:rFonts w:ascii="Times New Roman" w:hAnsi="Times New Roman"/>
                <w:szCs w:val="24"/>
              </w:rPr>
              <w:t xml:space="preserve">The </w:t>
            </w:r>
            <w:r>
              <w:rPr>
                <w:rFonts w:ascii="Times New Roman" w:hAnsi="Times New Roman"/>
                <w:szCs w:val="24"/>
              </w:rPr>
              <w:t>permeable pavement</w:t>
            </w:r>
            <w:r w:rsidRPr="009360AF">
              <w:rPr>
                <w:rFonts w:ascii="Times New Roman" w:hAnsi="Times New Roman"/>
                <w:szCs w:val="24"/>
              </w:rPr>
              <w:t xml:space="preserve"> system meets applicable design and construction criteria (see Design and Construction Criteria above</w:t>
            </w:r>
            <w:r>
              <w:rPr>
                <w:rFonts w:ascii="Times New Roman" w:hAnsi="Times New Roman"/>
                <w:szCs w:val="24"/>
              </w:rPr>
              <w:t xml:space="preserve"> and Verification below</w:t>
            </w:r>
            <w:r w:rsidRPr="009360AF">
              <w:rPr>
                <w:rFonts w:ascii="Times New Roman" w:hAnsi="Times New Roman"/>
                <w:szCs w:val="24"/>
              </w:rPr>
              <w:t>).</w:t>
            </w:r>
          </w:p>
        </w:tc>
      </w:tr>
      <w:tr w:rsidR="00FE0C75" w:rsidRPr="009360AF" w14:paraId="51C3C387" w14:textId="77777777" w:rsidTr="00FE0C75">
        <w:tc>
          <w:tcPr>
            <w:tcW w:w="720" w:type="dxa"/>
            <w:shd w:val="clear" w:color="auto" w:fill="DBE5F1" w:themeFill="accent1" w:themeFillTint="33"/>
            <w:vAlign w:val="center"/>
          </w:tcPr>
          <w:p w14:paraId="7B9B8C13" w14:textId="77777777" w:rsidR="00FE0C75" w:rsidRPr="009360AF" w:rsidRDefault="00FE0C75" w:rsidP="00AE31F9">
            <w:pPr>
              <w:jc w:val="center"/>
              <w:rPr>
                <w:rFonts w:ascii="Times New Roman" w:hAnsi="Times New Roman"/>
                <w:b/>
                <w:szCs w:val="24"/>
              </w:rPr>
            </w:pPr>
          </w:p>
        </w:tc>
        <w:tc>
          <w:tcPr>
            <w:tcW w:w="720" w:type="dxa"/>
            <w:shd w:val="clear" w:color="auto" w:fill="DBE5F1" w:themeFill="accent1" w:themeFillTint="33"/>
          </w:tcPr>
          <w:p w14:paraId="1959A393" w14:textId="77777777" w:rsidR="00FE0C75" w:rsidRPr="009360AF" w:rsidRDefault="00FE0C75" w:rsidP="00AE31F9">
            <w:pPr>
              <w:jc w:val="center"/>
              <w:rPr>
                <w:rFonts w:ascii="Times New Roman" w:hAnsi="Times New Roman"/>
                <w:b/>
                <w:szCs w:val="24"/>
              </w:rPr>
            </w:pPr>
          </w:p>
        </w:tc>
        <w:tc>
          <w:tcPr>
            <w:tcW w:w="7249" w:type="dxa"/>
            <w:shd w:val="clear" w:color="auto" w:fill="DBE5F1" w:themeFill="accent1" w:themeFillTint="33"/>
          </w:tcPr>
          <w:p w14:paraId="387663F8" w14:textId="405BC494" w:rsidR="00FE0C75" w:rsidRPr="009360AF" w:rsidRDefault="00FE0C75" w:rsidP="00AE31F9">
            <w:pPr>
              <w:jc w:val="center"/>
              <w:rPr>
                <w:rFonts w:ascii="Times New Roman" w:eastAsiaTheme="minorHAnsi" w:hAnsi="Times New Roman"/>
                <w:b/>
                <w:color w:val="000000"/>
                <w:spacing w:val="0"/>
                <w:szCs w:val="24"/>
              </w:rPr>
            </w:pPr>
            <w:r w:rsidRPr="009360AF">
              <w:rPr>
                <w:rFonts w:ascii="Times New Roman" w:eastAsiaTheme="minorHAnsi" w:hAnsi="Times New Roman"/>
                <w:b/>
                <w:color w:val="000000"/>
                <w:spacing w:val="0"/>
                <w:szCs w:val="24"/>
              </w:rPr>
              <w:t>Verification of Performance by Project Engineer</w:t>
            </w:r>
          </w:p>
          <w:p w14:paraId="1EE4FCD2" w14:textId="67625B77" w:rsidR="00FE0C75" w:rsidRPr="009360AF" w:rsidRDefault="00FE0C75" w:rsidP="00AE31F9">
            <w:pPr>
              <w:jc w:val="center"/>
              <w:rPr>
                <w:rFonts w:ascii="Times New Roman" w:hAnsi="Times New Roman"/>
                <w:szCs w:val="24"/>
              </w:rPr>
            </w:pPr>
          </w:p>
        </w:tc>
      </w:tr>
      <w:tr w:rsidR="00FE0C75" w:rsidRPr="009360AF" w14:paraId="1E880445" w14:textId="77777777" w:rsidTr="00FE0C75">
        <w:tc>
          <w:tcPr>
            <w:tcW w:w="720" w:type="dxa"/>
            <w:vAlign w:val="center"/>
          </w:tcPr>
          <w:p w14:paraId="51CD29A3" w14:textId="77777777" w:rsidR="00FE0C75" w:rsidRPr="009360AF" w:rsidRDefault="00FE0C75" w:rsidP="00AE31F9">
            <w:pPr>
              <w:jc w:val="center"/>
              <w:rPr>
                <w:rFonts w:ascii="Times New Roman" w:hAnsi="Times New Roman"/>
                <w:b/>
                <w:szCs w:val="24"/>
              </w:rPr>
            </w:pPr>
          </w:p>
        </w:tc>
        <w:tc>
          <w:tcPr>
            <w:tcW w:w="720" w:type="dxa"/>
          </w:tcPr>
          <w:p w14:paraId="46C341B5" w14:textId="77777777" w:rsidR="00FE0C75" w:rsidRPr="009360AF" w:rsidRDefault="00FE0C75" w:rsidP="00AE31F9">
            <w:pPr>
              <w:jc w:val="center"/>
              <w:rPr>
                <w:rFonts w:ascii="Times New Roman" w:hAnsi="Times New Roman"/>
                <w:b/>
                <w:szCs w:val="24"/>
              </w:rPr>
            </w:pPr>
          </w:p>
        </w:tc>
        <w:tc>
          <w:tcPr>
            <w:tcW w:w="7249" w:type="dxa"/>
          </w:tcPr>
          <w:p w14:paraId="4BBCA162" w14:textId="45589A9E" w:rsidR="00FE0C75" w:rsidRPr="00942280" w:rsidRDefault="00FE0C75" w:rsidP="007B6848">
            <w:pPr>
              <w:rPr>
                <w:rFonts w:ascii="Times New Roman" w:hAnsi="Times New Roman"/>
                <w:szCs w:val="24"/>
              </w:rPr>
            </w:pPr>
            <w:r w:rsidRPr="00942280">
              <w:rPr>
                <w:rFonts w:ascii="Times New Roman" w:hAnsi="Times New Roman"/>
                <w:szCs w:val="24"/>
              </w:rPr>
              <w:t>Prior to placing the aggregate storage reservoir, verify that the finished subgrade is scarified and meets the designed infiltration rate.</w:t>
            </w:r>
          </w:p>
        </w:tc>
      </w:tr>
      <w:tr w:rsidR="00FE0C75" w:rsidRPr="009360AF" w14:paraId="1597CD38" w14:textId="77777777" w:rsidTr="00FE0C75">
        <w:tc>
          <w:tcPr>
            <w:tcW w:w="720" w:type="dxa"/>
            <w:vAlign w:val="center"/>
          </w:tcPr>
          <w:p w14:paraId="3B85DEDC" w14:textId="77777777" w:rsidR="00FE0C75" w:rsidRPr="009360AF" w:rsidRDefault="00FE0C75" w:rsidP="00AE31F9">
            <w:pPr>
              <w:jc w:val="center"/>
              <w:rPr>
                <w:rFonts w:ascii="Times New Roman" w:hAnsi="Times New Roman"/>
                <w:b/>
                <w:szCs w:val="24"/>
              </w:rPr>
            </w:pPr>
          </w:p>
        </w:tc>
        <w:tc>
          <w:tcPr>
            <w:tcW w:w="720" w:type="dxa"/>
          </w:tcPr>
          <w:p w14:paraId="19C360FC" w14:textId="77777777" w:rsidR="00FE0C75" w:rsidRPr="009360AF" w:rsidRDefault="00FE0C75" w:rsidP="00AE31F9">
            <w:pPr>
              <w:jc w:val="center"/>
              <w:rPr>
                <w:rFonts w:ascii="Times New Roman" w:hAnsi="Times New Roman"/>
                <w:b/>
                <w:szCs w:val="24"/>
              </w:rPr>
            </w:pPr>
          </w:p>
        </w:tc>
        <w:tc>
          <w:tcPr>
            <w:tcW w:w="7249" w:type="dxa"/>
          </w:tcPr>
          <w:p w14:paraId="776C6CD3" w14:textId="733079FA" w:rsidR="00FE0C75" w:rsidRPr="00244556" w:rsidRDefault="00FE0C75" w:rsidP="00AE31F9">
            <w:pPr>
              <w:rPr>
                <w:rFonts w:ascii="Times New Roman" w:hAnsi="Times New Roman"/>
                <w:szCs w:val="24"/>
                <w:highlight w:val="yellow"/>
              </w:rPr>
            </w:pPr>
            <w:r w:rsidRPr="00C70A69">
              <w:rPr>
                <w:rFonts w:ascii="Times New Roman" w:hAnsi="Times New Roman"/>
                <w:szCs w:val="24"/>
              </w:rPr>
              <w:t>Verify that the aggregate storage reservoir has been adequately installed and protected (e.g., from compaction and sedimentation) per the design specifications, prior to paving.</w:t>
            </w:r>
          </w:p>
        </w:tc>
      </w:tr>
      <w:tr w:rsidR="00FE0C75" w:rsidRPr="009360AF" w14:paraId="1C5316CF" w14:textId="77777777" w:rsidTr="00FE0C75">
        <w:tc>
          <w:tcPr>
            <w:tcW w:w="720" w:type="dxa"/>
            <w:vAlign w:val="center"/>
          </w:tcPr>
          <w:p w14:paraId="1FB8748C" w14:textId="77777777" w:rsidR="00FE0C75" w:rsidRPr="009360AF" w:rsidRDefault="00FE0C75" w:rsidP="00AE31F9">
            <w:pPr>
              <w:jc w:val="center"/>
              <w:rPr>
                <w:rFonts w:ascii="Times New Roman" w:hAnsi="Times New Roman"/>
                <w:b/>
                <w:szCs w:val="24"/>
              </w:rPr>
            </w:pPr>
          </w:p>
        </w:tc>
        <w:tc>
          <w:tcPr>
            <w:tcW w:w="720" w:type="dxa"/>
          </w:tcPr>
          <w:p w14:paraId="025BD0B1" w14:textId="77777777" w:rsidR="00FE0C75" w:rsidRPr="009360AF" w:rsidRDefault="00FE0C75" w:rsidP="00AE31F9">
            <w:pPr>
              <w:jc w:val="center"/>
              <w:rPr>
                <w:rFonts w:ascii="Times New Roman" w:hAnsi="Times New Roman"/>
                <w:b/>
                <w:szCs w:val="24"/>
              </w:rPr>
            </w:pPr>
          </w:p>
        </w:tc>
        <w:tc>
          <w:tcPr>
            <w:tcW w:w="7249" w:type="dxa"/>
          </w:tcPr>
          <w:p w14:paraId="1761C1C3" w14:textId="7A25018C" w:rsidR="00FE0C75" w:rsidRPr="00244556" w:rsidRDefault="00FE0C75" w:rsidP="008E1E92">
            <w:pPr>
              <w:rPr>
                <w:rFonts w:ascii="Times New Roman" w:hAnsi="Times New Roman"/>
                <w:szCs w:val="24"/>
                <w:highlight w:val="yellow"/>
              </w:rPr>
            </w:pPr>
            <w:r w:rsidRPr="00942280">
              <w:rPr>
                <w:rFonts w:ascii="Times New Roman" w:eastAsiaTheme="minorHAnsi" w:hAnsi="Times New Roman"/>
                <w:color w:val="000000"/>
                <w:spacing w:val="0"/>
                <w:szCs w:val="24"/>
              </w:rPr>
              <w:t>Prior to release of financial guarantee, at least two ASTM 1701 tests were performed.</w:t>
            </w:r>
          </w:p>
        </w:tc>
      </w:tr>
      <w:tr w:rsidR="00FE0C75" w:rsidRPr="009360AF" w14:paraId="18DA7321" w14:textId="77777777" w:rsidTr="00C70A69">
        <w:tc>
          <w:tcPr>
            <w:tcW w:w="720" w:type="dxa"/>
            <w:vAlign w:val="center"/>
          </w:tcPr>
          <w:p w14:paraId="464FED6B" w14:textId="77777777" w:rsidR="00FE0C75" w:rsidRPr="009360AF" w:rsidRDefault="00FE0C75" w:rsidP="00AE31F9">
            <w:pPr>
              <w:jc w:val="center"/>
              <w:rPr>
                <w:rFonts w:ascii="Times New Roman" w:hAnsi="Times New Roman"/>
                <w:b/>
                <w:szCs w:val="24"/>
              </w:rPr>
            </w:pPr>
          </w:p>
        </w:tc>
        <w:tc>
          <w:tcPr>
            <w:tcW w:w="720" w:type="dxa"/>
          </w:tcPr>
          <w:p w14:paraId="03540A8D" w14:textId="77777777" w:rsidR="00FE0C75" w:rsidRPr="009360AF" w:rsidRDefault="00FE0C75" w:rsidP="00AE31F9">
            <w:pPr>
              <w:jc w:val="center"/>
              <w:rPr>
                <w:rFonts w:ascii="Times New Roman" w:hAnsi="Times New Roman"/>
                <w:b/>
                <w:szCs w:val="24"/>
              </w:rPr>
            </w:pPr>
          </w:p>
        </w:tc>
        <w:tc>
          <w:tcPr>
            <w:tcW w:w="7249" w:type="dxa"/>
            <w:shd w:val="clear" w:color="auto" w:fill="auto"/>
          </w:tcPr>
          <w:p w14:paraId="4A256D2F" w14:textId="2982C024" w:rsidR="00FE0C75" w:rsidRPr="00C70A69" w:rsidRDefault="00FE0C75">
            <w:pPr>
              <w:rPr>
                <w:rFonts w:ascii="Times New Roman" w:eastAsiaTheme="minorHAnsi" w:hAnsi="Times New Roman"/>
                <w:color w:val="000000"/>
                <w:spacing w:val="0"/>
                <w:szCs w:val="24"/>
              </w:rPr>
            </w:pPr>
            <w:r w:rsidRPr="00C70A69">
              <w:rPr>
                <w:rFonts w:ascii="Times New Roman" w:hAnsi="Times New Roman"/>
                <w:szCs w:val="24"/>
              </w:rPr>
              <w:t xml:space="preserve">The </w:t>
            </w:r>
            <w:r w:rsidR="00C70A69" w:rsidRPr="00C70A69">
              <w:rPr>
                <w:rFonts w:ascii="Times New Roman" w:hAnsi="Times New Roman"/>
                <w:szCs w:val="24"/>
              </w:rPr>
              <w:t>C</w:t>
            </w:r>
            <w:r w:rsidRPr="00C70A69">
              <w:rPr>
                <w:rFonts w:ascii="Times New Roman" w:hAnsi="Times New Roman"/>
                <w:szCs w:val="24"/>
              </w:rPr>
              <w:t xml:space="preserve">ounty was notified of the scheduled infiltration testing at least two working days in advance of the </w:t>
            </w:r>
            <w:r w:rsidRPr="00C70A69">
              <w:rPr>
                <w:rFonts w:ascii="Times New Roman" w:eastAsiaTheme="minorHAnsi" w:hAnsi="Times New Roman"/>
                <w:color w:val="000000"/>
                <w:spacing w:val="0"/>
                <w:szCs w:val="24"/>
              </w:rPr>
              <w:t>ASTM 1701 tests</w:t>
            </w:r>
            <w:r w:rsidRPr="00C70A69">
              <w:rPr>
                <w:rFonts w:ascii="Times New Roman" w:hAnsi="Times New Roman"/>
                <w:szCs w:val="24"/>
              </w:rPr>
              <w:t>.</w:t>
            </w:r>
          </w:p>
        </w:tc>
      </w:tr>
      <w:tr w:rsidR="00FE0C75" w:rsidRPr="009360AF" w14:paraId="72C695A3" w14:textId="77777777" w:rsidTr="00C70A69">
        <w:tc>
          <w:tcPr>
            <w:tcW w:w="720" w:type="dxa"/>
            <w:vAlign w:val="center"/>
          </w:tcPr>
          <w:p w14:paraId="16158321" w14:textId="77777777" w:rsidR="00FE0C75" w:rsidRPr="009360AF" w:rsidRDefault="00FE0C75" w:rsidP="00AE31F9">
            <w:pPr>
              <w:jc w:val="center"/>
              <w:rPr>
                <w:rFonts w:ascii="Times New Roman" w:hAnsi="Times New Roman"/>
                <w:b/>
                <w:szCs w:val="24"/>
              </w:rPr>
            </w:pPr>
          </w:p>
        </w:tc>
        <w:tc>
          <w:tcPr>
            <w:tcW w:w="720" w:type="dxa"/>
          </w:tcPr>
          <w:p w14:paraId="525445D4" w14:textId="77777777" w:rsidR="00FE0C75" w:rsidRPr="009360AF" w:rsidRDefault="00FE0C75" w:rsidP="00AE31F9">
            <w:pPr>
              <w:jc w:val="center"/>
              <w:rPr>
                <w:rFonts w:ascii="Times New Roman" w:hAnsi="Times New Roman"/>
                <w:b/>
                <w:szCs w:val="24"/>
              </w:rPr>
            </w:pPr>
          </w:p>
        </w:tc>
        <w:tc>
          <w:tcPr>
            <w:tcW w:w="7249" w:type="dxa"/>
            <w:shd w:val="clear" w:color="auto" w:fill="auto"/>
          </w:tcPr>
          <w:p w14:paraId="0607C2BE" w14:textId="6A819D10" w:rsidR="00FE0C75" w:rsidRPr="00C70A69" w:rsidRDefault="00FE0C75" w:rsidP="008E1E92">
            <w:pPr>
              <w:rPr>
                <w:rFonts w:ascii="Times New Roman" w:hAnsi="Times New Roman"/>
                <w:szCs w:val="24"/>
              </w:rPr>
            </w:pPr>
            <w:r w:rsidRPr="00C70A69">
              <w:rPr>
                <w:rFonts w:ascii="Times New Roman" w:eastAsiaTheme="minorHAnsi" w:hAnsi="Times New Roman"/>
                <w:color w:val="000000"/>
                <w:spacing w:val="0"/>
                <w:szCs w:val="24"/>
              </w:rPr>
              <w:t xml:space="preserve">If the ASTM 1701 tests indicated poor function (initial infiltration rate of less than 20 inches per hour), the </w:t>
            </w:r>
            <w:r w:rsidR="00C70A69" w:rsidRPr="00C70A69">
              <w:rPr>
                <w:rFonts w:ascii="Times New Roman" w:eastAsiaTheme="minorHAnsi" w:hAnsi="Times New Roman"/>
                <w:color w:val="000000"/>
                <w:spacing w:val="0"/>
                <w:szCs w:val="24"/>
              </w:rPr>
              <w:t>C</w:t>
            </w:r>
            <w:r w:rsidRPr="00C70A69">
              <w:rPr>
                <w:rFonts w:ascii="Times New Roman" w:eastAsiaTheme="minorHAnsi" w:hAnsi="Times New Roman"/>
                <w:color w:val="000000"/>
                <w:spacing w:val="0"/>
                <w:szCs w:val="24"/>
              </w:rPr>
              <w:t>ounty was informed.</w:t>
            </w:r>
            <w:r w:rsidRPr="00C70A69">
              <w:t xml:space="preserve"> </w:t>
            </w:r>
          </w:p>
        </w:tc>
      </w:tr>
    </w:tbl>
    <w:p w14:paraId="6F9B7E98" w14:textId="77777777" w:rsidR="00442BB6" w:rsidRDefault="00442BB6" w:rsidP="0040273E"/>
    <w:sectPr w:rsidR="00442BB6" w:rsidSect="0057523F">
      <w:headerReference w:type="default" r:id="rId10"/>
      <w:footerReference w:type="default" r:id="rId11"/>
      <w:headerReference w:type="first" r:id="rId12"/>
      <w:footerReference w:type="first" r:id="rId13"/>
      <w:pgSz w:w="12240" w:h="15840"/>
      <w:pgMar w:top="1152" w:right="1440" w:bottom="864"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9DA0" w14:textId="77777777" w:rsidR="00935EDA" w:rsidRDefault="00935EDA" w:rsidP="00753267">
      <w:r>
        <w:separator/>
      </w:r>
    </w:p>
  </w:endnote>
  <w:endnote w:type="continuationSeparator" w:id="0">
    <w:p w14:paraId="6DAD873C" w14:textId="77777777" w:rsidR="00935EDA" w:rsidRDefault="00935EDA"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0F0DEDF7" w:rsidR="002D4E70" w:rsidRDefault="002D4E70">
        <w:pPr>
          <w:pStyle w:val="Footer"/>
          <w:jc w:val="center"/>
        </w:pPr>
        <w:r>
          <w:fldChar w:fldCharType="begin"/>
        </w:r>
        <w:r>
          <w:instrText xml:space="preserve"> PAGE   \* MERGEFORMAT </w:instrText>
        </w:r>
        <w:r>
          <w:fldChar w:fldCharType="separate"/>
        </w:r>
        <w:r w:rsidR="00FE0C75">
          <w:rPr>
            <w:noProof/>
          </w:rPr>
          <w:t>5</w:t>
        </w:r>
        <w:r>
          <w:rPr>
            <w:noProof/>
          </w:rPr>
          <w:fldChar w:fldCharType="end"/>
        </w:r>
      </w:p>
    </w:sdtContent>
  </w:sdt>
  <w:p w14:paraId="23CD9F61" w14:textId="77777777" w:rsidR="002D4E70" w:rsidRDefault="002D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622704"/>
      <w:docPartObj>
        <w:docPartGallery w:val="Page Numbers (Bottom of Page)"/>
        <w:docPartUnique/>
      </w:docPartObj>
    </w:sdtPr>
    <w:sdtEndPr>
      <w:rPr>
        <w:noProof/>
      </w:rPr>
    </w:sdtEndPr>
    <w:sdtContent>
      <w:p w14:paraId="68F4D91E" w14:textId="1D6D3E2C" w:rsidR="002D4E70" w:rsidRDefault="002D4E70">
        <w:pPr>
          <w:pStyle w:val="Footer"/>
          <w:jc w:val="center"/>
        </w:pPr>
        <w:r>
          <w:fldChar w:fldCharType="begin"/>
        </w:r>
        <w:r>
          <w:instrText xml:space="preserve"> PAGE   \* MERGEFORMAT </w:instrText>
        </w:r>
        <w:r>
          <w:fldChar w:fldCharType="separate"/>
        </w:r>
        <w:r w:rsidR="00FE0C75">
          <w:rPr>
            <w:noProof/>
          </w:rPr>
          <w:t>1</w:t>
        </w:r>
        <w:r>
          <w:rPr>
            <w:noProof/>
          </w:rPr>
          <w:fldChar w:fldCharType="end"/>
        </w:r>
      </w:p>
    </w:sdtContent>
  </w:sdt>
  <w:p w14:paraId="17E9894A" w14:textId="2A3EB99D" w:rsidR="002D4E70" w:rsidRDefault="002D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BE1C" w14:textId="77777777" w:rsidR="00935EDA" w:rsidRDefault="00935EDA" w:rsidP="00753267">
      <w:r>
        <w:separator/>
      </w:r>
    </w:p>
  </w:footnote>
  <w:footnote w:type="continuationSeparator" w:id="0">
    <w:p w14:paraId="4C722BEF" w14:textId="77777777" w:rsidR="00935EDA" w:rsidRDefault="00935EDA"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C519" w14:textId="33A65143" w:rsidR="002D4E70" w:rsidRPr="001A2482" w:rsidRDefault="002D4E70" w:rsidP="001A2482">
    <w:pPr>
      <w:tabs>
        <w:tab w:val="right" w:pos="9900"/>
      </w:tabs>
      <w:spacing w:before="100" w:beforeAutospacing="1" w:after="100" w:afterAutospacing="1"/>
      <w:contextualSpacing/>
      <w:jc w:val="righ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C92B" w14:textId="7230B79F" w:rsidR="00FE0C75" w:rsidRPr="0040273E" w:rsidRDefault="00FE0C75" w:rsidP="00FE0C75">
    <w:pPr>
      <w:jc w:val="center"/>
      <w:rPr>
        <w:rFonts w:ascii="Times New Roman" w:hAnsi="Times New Roman"/>
        <w:b/>
        <w:sz w:val="32"/>
        <w:szCs w:val="32"/>
      </w:rPr>
    </w:pPr>
    <w:r w:rsidRPr="00FE0C75">
      <w:rPr>
        <w:rFonts w:ascii="Times New Roman" w:hAnsi="Times New Roman"/>
        <w:b/>
        <w:sz w:val="32"/>
        <w:szCs w:val="32"/>
      </w:rPr>
      <w:t>LID.09 Permeable Pav</w:t>
    </w:r>
    <w:r w:rsidR="00DD7E83">
      <w:rPr>
        <w:rFonts w:ascii="Times New Roman" w:hAnsi="Times New Roman"/>
        <w:b/>
        <w:sz w:val="32"/>
        <w:szCs w:val="32"/>
      </w:rPr>
      <w:t>ements</w:t>
    </w:r>
    <w:r>
      <w:rPr>
        <w:rFonts w:ascii="Times New Roman" w:hAnsi="Times New Roman"/>
        <w:b/>
        <w:sz w:val="32"/>
        <w:szCs w:val="32"/>
      </w:rPr>
      <w:t xml:space="preserve"> </w:t>
    </w:r>
  </w:p>
  <w:p w14:paraId="1EEFFD08" w14:textId="77777777" w:rsidR="00FE0C75" w:rsidRDefault="00FE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40F"/>
    <w:multiLevelType w:val="hybridMultilevel"/>
    <w:tmpl w:val="5A90A530"/>
    <w:lvl w:ilvl="0" w:tplc="0409000F">
      <w:start w:val="1"/>
      <w:numFmt w:val="decimal"/>
      <w:lvlText w:val="%1."/>
      <w:lvlJc w:val="left"/>
      <w:pPr>
        <w:ind w:left="426" w:hanging="302"/>
      </w:pPr>
      <w:rPr>
        <w:rFont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04090001">
      <w:start w:val="1"/>
      <w:numFmt w:val="bullet"/>
      <w:lvlText w:val=""/>
      <w:lvlJc w:val="left"/>
      <w:pPr>
        <w:ind w:left="680" w:hanging="298"/>
      </w:pPr>
      <w:rPr>
        <w:rFonts w:ascii="Symbol" w:hAnsi="Symbol"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119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1" w15:restartNumberingAfterBreak="0">
    <w:nsid w:val="077E27F0"/>
    <w:multiLevelType w:val="hybridMultilevel"/>
    <w:tmpl w:val="ADE00422"/>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5C5E85"/>
    <w:multiLevelType w:val="hybridMultilevel"/>
    <w:tmpl w:val="E2F6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B75BB"/>
    <w:multiLevelType w:val="hybridMultilevel"/>
    <w:tmpl w:val="B614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06FB"/>
    <w:multiLevelType w:val="hybridMultilevel"/>
    <w:tmpl w:val="DB5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4AA6"/>
    <w:multiLevelType w:val="hybridMultilevel"/>
    <w:tmpl w:val="014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FFA"/>
    <w:multiLevelType w:val="hybridMultilevel"/>
    <w:tmpl w:val="84F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0B7F"/>
    <w:multiLevelType w:val="hybridMultilevel"/>
    <w:tmpl w:val="81EA747E"/>
    <w:lvl w:ilvl="0" w:tplc="431007D6">
      <w:numFmt w:val="bullet"/>
      <w:lvlText w:val=""/>
      <w:lvlJc w:val="left"/>
      <w:pPr>
        <w:ind w:left="770" w:hanging="360"/>
      </w:pPr>
      <w:rPr>
        <w:rFonts w:ascii="Symbol" w:eastAsiaTheme="minorHAnsi" w:hAnsi="Symbol" w:cs="Courier New" w:hint="default"/>
        <w:sz w:val="2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5CE2485"/>
    <w:multiLevelType w:val="hybridMultilevel"/>
    <w:tmpl w:val="885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B3D9E"/>
    <w:multiLevelType w:val="hybridMultilevel"/>
    <w:tmpl w:val="270657A8"/>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12" w15:restartNumberingAfterBreak="0">
    <w:nsid w:val="254F038C"/>
    <w:multiLevelType w:val="hybridMultilevel"/>
    <w:tmpl w:val="63F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6A05"/>
    <w:multiLevelType w:val="hybridMultilevel"/>
    <w:tmpl w:val="348434F4"/>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1775A"/>
    <w:multiLevelType w:val="hybridMultilevel"/>
    <w:tmpl w:val="F176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16"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2275F"/>
    <w:multiLevelType w:val="hybridMultilevel"/>
    <w:tmpl w:val="46E6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D6187"/>
    <w:multiLevelType w:val="hybridMultilevel"/>
    <w:tmpl w:val="C96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30E3F"/>
    <w:multiLevelType w:val="hybridMultilevel"/>
    <w:tmpl w:val="8CB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5FA"/>
    <w:multiLevelType w:val="hybridMultilevel"/>
    <w:tmpl w:val="59B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3A3C"/>
    <w:multiLevelType w:val="hybridMultilevel"/>
    <w:tmpl w:val="89C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93DCE"/>
    <w:multiLevelType w:val="hybridMultilevel"/>
    <w:tmpl w:val="93CA4CB0"/>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5751F"/>
    <w:multiLevelType w:val="hybridMultilevel"/>
    <w:tmpl w:val="CA6C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F61FE"/>
    <w:multiLevelType w:val="hybridMultilevel"/>
    <w:tmpl w:val="53E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D449E"/>
    <w:multiLevelType w:val="hybridMultilevel"/>
    <w:tmpl w:val="49D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6458B"/>
    <w:multiLevelType w:val="hybridMultilevel"/>
    <w:tmpl w:val="6D8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022D4"/>
    <w:multiLevelType w:val="hybridMultilevel"/>
    <w:tmpl w:val="930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0466F4"/>
    <w:multiLevelType w:val="hybridMultilevel"/>
    <w:tmpl w:val="FB7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5324"/>
    <w:multiLevelType w:val="hybridMultilevel"/>
    <w:tmpl w:val="A228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C5E84"/>
    <w:multiLevelType w:val="hybridMultilevel"/>
    <w:tmpl w:val="95B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A31E1"/>
    <w:multiLevelType w:val="hybridMultilevel"/>
    <w:tmpl w:val="79E6F558"/>
    <w:lvl w:ilvl="0" w:tplc="0409000F">
      <w:start w:val="1"/>
      <w:numFmt w:val="decimal"/>
      <w:lvlText w:val="%1."/>
      <w:lvlJc w:val="left"/>
      <w:pPr>
        <w:ind w:left="426" w:hanging="302"/>
      </w:pPr>
      <w:rPr>
        <w:rFont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33" w15:restartNumberingAfterBreak="0">
    <w:nsid w:val="5F0106A4"/>
    <w:multiLevelType w:val="hybridMultilevel"/>
    <w:tmpl w:val="00B43D48"/>
    <w:lvl w:ilvl="0" w:tplc="6C78C39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A06B1"/>
    <w:multiLevelType w:val="hybridMultilevel"/>
    <w:tmpl w:val="CE98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A0912"/>
    <w:multiLevelType w:val="hybridMultilevel"/>
    <w:tmpl w:val="5C9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22319"/>
    <w:multiLevelType w:val="hybridMultilevel"/>
    <w:tmpl w:val="7F7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B2402"/>
    <w:multiLevelType w:val="hybridMultilevel"/>
    <w:tmpl w:val="339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68106CE"/>
    <w:multiLevelType w:val="hybridMultilevel"/>
    <w:tmpl w:val="91E8F288"/>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647A7"/>
    <w:multiLevelType w:val="hybridMultilevel"/>
    <w:tmpl w:val="E55C8EF2"/>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42" w15:restartNumberingAfterBreak="0">
    <w:nsid w:val="7F732197"/>
    <w:multiLevelType w:val="hybridMultilevel"/>
    <w:tmpl w:val="8DBCEE24"/>
    <w:lvl w:ilvl="0" w:tplc="431007D6">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1"/>
  </w:num>
  <w:num w:numId="3">
    <w:abstractNumId w:val="38"/>
  </w:num>
  <w:num w:numId="4">
    <w:abstractNumId w:val="4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41"/>
  </w:num>
  <w:num w:numId="10">
    <w:abstractNumId w:val="33"/>
  </w:num>
  <w:num w:numId="11">
    <w:abstractNumId w:val="27"/>
  </w:num>
  <w:num w:numId="12">
    <w:abstractNumId w:val="37"/>
  </w:num>
  <w:num w:numId="13">
    <w:abstractNumId w:val="7"/>
  </w:num>
  <w:num w:numId="14">
    <w:abstractNumId w:val="25"/>
  </w:num>
  <w:num w:numId="15">
    <w:abstractNumId w:val="6"/>
  </w:num>
  <w:num w:numId="16">
    <w:abstractNumId w:val="30"/>
  </w:num>
  <w:num w:numId="17">
    <w:abstractNumId w:val="18"/>
  </w:num>
  <w:num w:numId="18">
    <w:abstractNumId w:val="9"/>
  </w:num>
  <w:num w:numId="19">
    <w:abstractNumId w:val="29"/>
  </w:num>
  <w:num w:numId="20">
    <w:abstractNumId w:val="12"/>
  </w:num>
  <w:num w:numId="21">
    <w:abstractNumId w:val="35"/>
  </w:num>
  <w:num w:numId="22">
    <w:abstractNumId w:val="23"/>
  </w:num>
  <w:num w:numId="23">
    <w:abstractNumId w:val="14"/>
  </w:num>
  <w:num w:numId="24">
    <w:abstractNumId w:val="26"/>
  </w:num>
  <w:num w:numId="25">
    <w:abstractNumId w:val="4"/>
  </w:num>
  <w:num w:numId="26">
    <w:abstractNumId w:val="3"/>
  </w:num>
  <w:num w:numId="27">
    <w:abstractNumId w:val="20"/>
  </w:num>
  <w:num w:numId="28">
    <w:abstractNumId w:val="40"/>
  </w:num>
  <w:num w:numId="29">
    <w:abstractNumId w:val="39"/>
  </w:num>
  <w:num w:numId="30">
    <w:abstractNumId w:val="8"/>
  </w:num>
  <w:num w:numId="31">
    <w:abstractNumId w:val="22"/>
  </w:num>
  <w:num w:numId="32">
    <w:abstractNumId w:val="42"/>
  </w:num>
  <w:num w:numId="33">
    <w:abstractNumId w:val="10"/>
  </w:num>
  <w:num w:numId="34">
    <w:abstractNumId w:val="1"/>
  </w:num>
  <w:num w:numId="35">
    <w:abstractNumId w:val="13"/>
  </w:num>
  <w:num w:numId="36">
    <w:abstractNumId w:val="21"/>
  </w:num>
  <w:num w:numId="37">
    <w:abstractNumId w:val="34"/>
  </w:num>
  <w:num w:numId="38">
    <w:abstractNumId w:val="17"/>
  </w:num>
  <w:num w:numId="39">
    <w:abstractNumId w:val="19"/>
  </w:num>
  <w:num w:numId="40">
    <w:abstractNumId w:val="5"/>
  </w:num>
  <w:num w:numId="41">
    <w:abstractNumId w:val="31"/>
  </w:num>
  <w:num w:numId="42">
    <w:abstractNumId w:val="32"/>
  </w:num>
  <w:num w:numId="43">
    <w:abstractNumId w:val="24"/>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14337">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013EE"/>
    <w:rsid w:val="00004AD0"/>
    <w:rsid w:val="000058DF"/>
    <w:rsid w:val="00016E56"/>
    <w:rsid w:val="00021A38"/>
    <w:rsid w:val="00023CDE"/>
    <w:rsid w:val="00027190"/>
    <w:rsid w:val="00027CB2"/>
    <w:rsid w:val="00053828"/>
    <w:rsid w:val="000618F3"/>
    <w:rsid w:val="000674A1"/>
    <w:rsid w:val="00070E73"/>
    <w:rsid w:val="0007129D"/>
    <w:rsid w:val="00075E67"/>
    <w:rsid w:val="00077052"/>
    <w:rsid w:val="00077152"/>
    <w:rsid w:val="0008393A"/>
    <w:rsid w:val="00087DFF"/>
    <w:rsid w:val="000905A8"/>
    <w:rsid w:val="000927D4"/>
    <w:rsid w:val="00095BA1"/>
    <w:rsid w:val="0009634E"/>
    <w:rsid w:val="0009712A"/>
    <w:rsid w:val="000A0269"/>
    <w:rsid w:val="000A2778"/>
    <w:rsid w:val="000A2DE2"/>
    <w:rsid w:val="000A33B9"/>
    <w:rsid w:val="000C20D2"/>
    <w:rsid w:val="000D1C7C"/>
    <w:rsid w:val="000D1D6A"/>
    <w:rsid w:val="000E2CBA"/>
    <w:rsid w:val="000E6EA9"/>
    <w:rsid w:val="000F28FA"/>
    <w:rsid w:val="000F6B52"/>
    <w:rsid w:val="001239CB"/>
    <w:rsid w:val="00127A6F"/>
    <w:rsid w:val="001317C8"/>
    <w:rsid w:val="001377FC"/>
    <w:rsid w:val="0015139F"/>
    <w:rsid w:val="00151D25"/>
    <w:rsid w:val="001606D9"/>
    <w:rsid w:val="00171C34"/>
    <w:rsid w:val="00176E9E"/>
    <w:rsid w:val="00177FCD"/>
    <w:rsid w:val="001843A6"/>
    <w:rsid w:val="0019341C"/>
    <w:rsid w:val="00194498"/>
    <w:rsid w:val="00195244"/>
    <w:rsid w:val="001A1BDE"/>
    <w:rsid w:val="001A2482"/>
    <w:rsid w:val="001A4452"/>
    <w:rsid w:val="001A7EA3"/>
    <w:rsid w:val="001B061D"/>
    <w:rsid w:val="001B664C"/>
    <w:rsid w:val="001C11A0"/>
    <w:rsid w:val="001C7A4D"/>
    <w:rsid w:val="001D06CC"/>
    <w:rsid w:val="001D1BE4"/>
    <w:rsid w:val="001D23AC"/>
    <w:rsid w:val="001D2BE8"/>
    <w:rsid w:val="001D473D"/>
    <w:rsid w:val="001F4EBB"/>
    <w:rsid w:val="002016F7"/>
    <w:rsid w:val="00202BDA"/>
    <w:rsid w:val="002101DB"/>
    <w:rsid w:val="0021277D"/>
    <w:rsid w:val="002138E2"/>
    <w:rsid w:val="00226495"/>
    <w:rsid w:val="00230520"/>
    <w:rsid w:val="00231EBA"/>
    <w:rsid w:val="00232C71"/>
    <w:rsid w:val="00240495"/>
    <w:rsid w:val="00244556"/>
    <w:rsid w:val="002462FC"/>
    <w:rsid w:val="00261E69"/>
    <w:rsid w:val="00264988"/>
    <w:rsid w:val="00272B65"/>
    <w:rsid w:val="00277D05"/>
    <w:rsid w:val="00281DF0"/>
    <w:rsid w:val="00284A6E"/>
    <w:rsid w:val="002974FE"/>
    <w:rsid w:val="002A2CB8"/>
    <w:rsid w:val="002A3C27"/>
    <w:rsid w:val="002A4CD5"/>
    <w:rsid w:val="002A4DEA"/>
    <w:rsid w:val="002A5415"/>
    <w:rsid w:val="002A6C26"/>
    <w:rsid w:val="002B474F"/>
    <w:rsid w:val="002B476E"/>
    <w:rsid w:val="002B5910"/>
    <w:rsid w:val="002C0404"/>
    <w:rsid w:val="002C1A23"/>
    <w:rsid w:val="002D175F"/>
    <w:rsid w:val="002D47A5"/>
    <w:rsid w:val="002D4E70"/>
    <w:rsid w:val="002E0A68"/>
    <w:rsid w:val="002E3DD6"/>
    <w:rsid w:val="002F582B"/>
    <w:rsid w:val="00310592"/>
    <w:rsid w:val="00310EDD"/>
    <w:rsid w:val="003135C6"/>
    <w:rsid w:val="00333425"/>
    <w:rsid w:val="0033616D"/>
    <w:rsid w:val="0034263E"/>
    <w:rsid w:val="00354EE6"/>
    <w:rsid w:val="00355F1B"/>
    <w:rsid w:val="0035749E"/>
    <w:rsid w:val="00364F8A"/>
    <w:rsid w:val="00382B35"/>
    <w:rsid w:val="00382C64"/>
    <w:rsid w:val="003839A3"/>
    <w:rsid w:val="00385BD9"/>
    <w:rsid w:val="003906D3"/>
    <w:rsid w:val="003907B9"/>
    <w:rsid w:val="00397F14"/>
    <w:rsid w:val="003A1D65"/>
    <w:rsid w:val="003A2ACC"/>
    <w:rsid w:val="003B5817"/>
    <w:rsid w:val="003C4F86"/>
    <w:rsid w:val="003C551E"/>
    <w:rsid w:val="003E6C1E"/>
    <w:rsid w:val="003E7B51"/>
    <w:rsid w:val="00401D88"/>
    <w:rsid w:val="0040273E"/>
    <w:rsid w:val="0040710E"/>
    <w:rsid w:val="004113A4"/>
    <w:rsid w:val="00412E9C"/>
    <w:rsid w:val="004204C6"/>
    <w:rsid w:val="00421130"/>
    <w:rsid w:val="00422E9C"/>
    <w:rsid w:val="00430048"/>
    <w:rsid w:val="00442BB6"/>
    <w:rsid w:val="00450966"/>
    <w:rsid w:val="00451739"/>
    <w:rsid w:val="004535F6"/>
    <w:rsid w:val="00460CAC"/>
    <w:rsid w:val="00463DC2"/>
    <w:rsid w:val="004728E1"/>
    <w:rsid w:val="004758AC"/>
    <w:rsid w:val="0048274C"/>
    <w:rsid w:val="00485F73"/>
    <w:rsid w:val="0049106E"/>
    <w:rsid w:val="004954D5"/>
    <w:rsid w:val="004A663D"/>
    <w:rsid w:val="004B11DB"/>
    <w:rsid w:val="004B5D04"/>
    <w:rsid w:val="004C17E4"/>
    <w:rsid w:val="004C274D"/>
    <w:rsid w:val="004C38AC"/>
    <w:rsid w:val="004D19C8"/>
    <w:rsid w:val="004D5174"/>
    <w:rsid w:val="004F213A"/>
    <w:rsid w:val="004F4940"/>
    <w:rsid w:val="0050510B"/>
    <w:rsid w:val="005052C3"/>
    <w:rsid w:val="00512017"/>
    <w:rsid w:val="00512450"/>
    <w:rsid w:val="00515F25"/>
    <w:rsid w:val="0052128D"/>
    <w:rsid w:val="00524300"/>
    <w:rsid w:val="00525237"/>
    <w:rsid w:val="00525A55"/>
    <w:rsid w:val="0052660B"/>
    <w:rsid w:val="0053710E"/>
    <w:rsid w:val="00546106"/>
    <w:rsid w:val="00550FB5"/>
    <w:rsid w:val="00551683"/>
    <w:rsid w:val="005545C8"/>
    <w:rsid w:val="00563350"/>
    <w:rsid w:val="0056433D"/>
    <w:rsid w:val="0057030A"/>
    <w:rsid w:val="005719A7"/>
    <w:rsid w:val="00574CB5"/>
    <w:rsid w:val="0057523F"/>
    <w:rsid w:val="005775B7"/>
    <w:rsid w:val="00581493"/>
    <w:rsid w:val="005855F9"/>
    <w:rsid w:val="00586F12"/>
    <w:rsid w:val="0058796C"/>
    <w:rsid w:val="0059206F"/>
    <w:rsid w:val="00592ACB"/>
    <w:rsid w:val="005A3708"/>
    <w:rsid w:val="005A7D7B"/>
    <w:rsid w:val="005B47C5"/>
    <w:rsid w:val="005B50DF"/>
    <w:rsid w:val="005C0DB6"/>
    <w:rsid w:val="005C2755"/>
    <w:rsid w:val="005C794D"/>
    <w:rsid w:val="005D0D80"/>
    <w:rsid w:val="005D0DF2"/>
    <w:rsid w:val="005D1BB1"/>
    <w:rsid w:val="005E1AB9"/>
    <w:rsid w:val="005E3C5F"/>
    <w:rsid w:val="00602488"/>
    <w:rsid w:val="0060495C"/>
    <w:rsid w:val="006105C5"/>
    <w:rsid w:val="00612E1D"/>
    <w:rsid w:val="00613FEF"/>
    <w:rsid w:val="00624599"/>
    <w:rsid w:val="006306E0"/>
    <w:rsid w:val="0063759F"/>
    <w:rsid w:val="00644795"/>
    <w:rsid w:val="00645E68"/>
    <w:rsid w:val="00647C59"/>
    <w:rsid w:val="006511C0"/>
    <w:rsid w:val="00652348"/>
    <w:rsid w:val="006542AF"/>
    <w:rsid w:val="00654B2C"/>
    <w:rsid w:val="00656FFC"/>
    <w:rsid w:val="00662B2A"/>
    <w:rsid w:val="006670C1"/>
    <w:rsid w:val="0067120D"/>
    <w:rsid w:val="00673EAF"/>
    <w:rsid w:val="00674F26"/>
    <w:rsid w:val="006848B7"/>
    <w:rsid w:val="00684906"/>
    <w:rsid w:val="00685088"/>
    <w:rsid w:val="006905DB"/>
    <w:rsid w:val="006A038D"/>
    <w:rsid w:val="006B6177"/>
    <w:rsid w:val="006B6465"/>
    <w:rsid w:val="006C2D7B"/>
    <w:rsid w:val="006C2F75"/>
    <w:rsid w:val="006D4AA4"/>
    <w:rsid w:val="006D5819"/>
    <w:rsid w:val="006D65CD"/>
    <w:rsid w:val="006E0AE9"/>
    <w:rsid w:val="006E43AE"/>
    <w:rsid w:val="006E5F2B"/>
    <w:rsid w:val="006F1455"/>
    <w:rsid w:val="006F65BA"/>
    <w:rsid w:val="00716F6F"/>
    <w:rsid w:val="00725AFD"/>
    <w:rsid w:val="007309AF"/>
    <w:rsid w:val="00745C50"/>
    <w:rsid w:val="00751483"/>
    <w:rsid w:val="007519D9"/>
    <w:rsid w:val="00753267"/>
    <w:rsid w:val="00756B7D"/>
    <w:rsid w:val="0075769A"/>
    <w:rsid w:val="00761052"/>
    <w:rsid w:val="0076324A"/>
    <w:rsid w:val="0076475E"/>
    <w:rsid w:val="00771A51"/>
    <w:rsid w:val="00792E4C"/>
    <w:rsid w:val="0079317F"/>
    <w:rsid w:val="007A241C"/>
    <w:rsid w:val="007B0569"/>
    <w:rsid w:val="007B1D89"/>
    <w:rsid w:val="007B23C4"/>
    <w:rsid w:val="007B6848"/>
    <w:rsid w:val="007C35E1"/>
    <w:rsid w:val="007C692A"/>
    <w:rsid w:val="007D08E3"/>
    <w:rsid w:val="007D2C31"/>
    <w:rsid w:val="007D3262"/>
    <w:rsid w:val="007D654D"/>
    <w:rsid w:val="007E1008"/>
    <w:rsid w:val="007E286F"/>
    <w:rsid w:val="0080476B"/>
    <w:rsid w:val="0080586D"/>
    <w:rsid w:val="00806528"/>
    <w:rsid w:val="00813FD5"/>
    <w:rsid w:val="00831882"/>
    <w:rsid w:val="00843A8D"/>
    <w:rsid w:val="00874F3B"/>
    <w:rsid w:val="008767A5"/>
    <w:rsid w:val="00892B0F"/>
    <w:rsid w:val="008963B6"/>
    <w:rsid w:val="008A5EDE"/>
    <w:rsid w:val="008C210E"/>
    <w:rsid w:val="008C33D9"/>
    <w:rsid w:val="008C3983"/>
    <w:rsid w:val="008C53F6"/>
    <w:rsid w:val="008D493A"/>
    <w:rsid w:val="008E03B2"/>
    <w:rsid w:val="008E1E92"/>
    <w:rsid w:val="008E47F4"/>
    <w:rsid w:val="008E76B2"/>
    <w:rsid w:val="008F63A8"/>
    <w:rsid w:val="00905A08"/>
    <w:rsid w:val="009103DC"/>
    <w:rsid w:val="00923A46"/>
    <w:rsid w:val="009358D9"/>
    <w:rsid w:val="00935EDA"/>
    <w:rsid w:val="009360AF"/>
    <w:rsid w:val="00942280"/>
    <w:rsid w:val="00950A84"/>
    <w:rsid w:val="0095157D"/>
    <w:rsid w:val="00955F8E"/>
    <w:rsid w:val="0095752D"/>
    <w:rsid w:val="00965053"/>
    <w:rsid w:val="00974559"/>
    <w:rsid w:val="00974914"/>
    <w:rsid w:val="00981AE2"/>
    <w:rsid w:val="00983605"/>
    <w:rsid w:val="00994EF1"/>
    <w:rsid w:val="00995052"/>
    <w:rsid w:val="009A4773"/>
    <w:rsid w:val="009A5E7B"/>
    <w:rsid w:val="009B53DB"/>
    <w:rsid w:val="009B6D16"/>
    <w:rsid w:val="009C5859"/>
    <w:rsid w:val="009D1FE7"/>
    <w:rsid w:val="009D2D29"/>
    <w:rsid w:val="009D7347"/>
    <w:rsid w:val="009D7BE7"/>
    <w:rsid w:val="009E2F6B"/>
    <w:rsid w:val="009E3D32"/>
    <w:rsid w:val="009E7696"/>
    <w:rsid w:val="009F6AAC"/>
    <w:rsid w:val="00A01FFA"/>
    <w:rsid w:val="00A02C16"/>
    <w:rsid w:val="00A1387B"/>
    <w:rsid w:val="00A22587"/>
    <w:rsid w:val="00A27190"/>
    <w:rsid w:val="00A33622"/>
    <w:rsid w:val="00A33C30"/>
    <w:rsid w:val="00A5191D"/>
    <w:rsid w:val="00A53AAF"/>
    <w:rsid w:val="00A6661A"/>
    <w:rsid w:val="00A73C06"/>
    <w:rsid w:val="00A773E0"/>
    <w:rsid w:val="00A77BF2"/>
    <w:rsid w:val="00AA0321"/>
    <w:rsid w:val="00AA17EB"/>
    <w:rsid w:val="00AB601C"/>
    <w:rsid w:val="00AC2CF4"/>
    <w:rsid w:val="00AE24A2"/>
    <w:rsid w:val="00AE31F9"/>
    <w:rsid w:val="00AE45B9"/>
    <w:rsid w:val="00AE4872"/>
    <w:rsid w:val="00AE7F4C"/>
    <w:rsid w:val="00AF0732"/>
    <w:rsid w:val="00AF34CC"/>
    <w:rsid w:val="00B00ADD"/>
    <w:rsid w:val="00B06378"/>
    <w:rsid w:val="00B12131"/>
    <w:rsid w:val="00B13922"/>
    <w:rsid w:val="00B26AD8"/>
    <w:rsid w:val="00B41323"/>
    <w:rsid w:val="00B46C57"/>
    <w:rsid w:val="00B53CED"/>
    <w:rsid w:val="00B64F3E"/>
    <w:rsid w:val="00B66225"/>
    <w:rsid w:val="00B663D2"/>
    <w:rsid w:val="00B82697"/>
    <w:rsid w:val="00B8497F"/>
    <w:rsid w:val="00B91426"/>
    <w:rsid w:val="00B95018"/>
    <w:rsid w:val="00B956F6"/>
    <w:rsid w:val="00BA02ED"/>
    <w:rsid w:val="00BB5451"/>
    <w:rsid w:val="00BB7763"/>
    <w:rsid w:val="00BC3006"/>
    <w:rsid w:val="00BC5770"/>
    <w:rsid w:val="00BE2FB0"/>
    <w:rsid w:val="00BE6C5D"/>
    <w:rsid w:val="00C0060E"/>
    <w:rsid w:val="00C0346D"/>
    <w:rsid w:val="00C2441A"/>
    <w:rsid w:val="00C42933"/>
    <w:rsid w:val="00C43B5D"/>
    <w:rsid w:val="00C47B6D"/>
    <w:rsid w:val="00C53289"/>
    <w:rsid w:val="00C53DD2"/>
    <w:rsid w:val="00C56648"/>
    <w:rsid w:val="00C56A01"/>
    <w:rsid w:val="00C61543"/>
    <w:rsid w:val="00C70A69"/>
    <w:rsid w:val="00C71697"/>
    <w:rsid w:val="00C74096"/>
    <w:rsid w:val="00C819FD"/>
    <w:rsid w:val="00C871D2"/>
    <w:rsid w:val="00C9080F"/>
    <w:rsid w:val="00C92059"/>
    <w:rsid w:val="00C932C1"/>
    <w:rsid w:val="00CA47DB"/>
    <w:rsid w:val="00CA5045"/>
    <w:rsid w:val="00CB1426"/>
    <w:rsid w:val="00CB2279"/>
    <w:rsid w:val="00CB330E"/>
    <w:rsid w:val="00CB72F9"/>
    <w:rsid w:val="00CC08AB"/>
    <w:rsid w:val="00CC1EE4"/>
    <w:rsid w:val="00CC2150"/>
    <w:rsid w:val="00CC544C"/>
    <w:rsid w:val="00CC695F"/>
    <w:rsid w:val="00CE45C0"/>
    <w:rsid w:val="00CE58B6"/>
    <w:rsid w:val="00CE68A6"/>
    <w:rsid w:val="00CF21CB"/>
    <w:rsid w:val="00CF4F3D"/>
    <w:rsid w:val="00D057F0"/>
    <w:rsid w:val="00D12021"/>
    <w:rsid w:val="00D13273"/>
    <w:rsid w:val="00D14EFD"/>
    <w:rsid w:val="00D22B49"/>
    <w:rsid w:val="00D30A7F"/>
    <w:rsid w:val="00D41761"/>
    <w:rsid w:val="00D41FE9"/>
    <w:rsid w:val="00D43EAC"/>
    <w:rsid w:val="00D508B1"/>
    <w:rsid w:val="00D53B82"/>
    <w:rsid w:val="00D56975"/>
    <w:rsid w:val="00D62936"/>
    <w:rsid w:val="00D6309B"/>
    <w:rsid w:val="00D66C3F"/>
    <w:rsid w:val="00D73B59"/>
    <w:rsid w:val="00D74D2D"/>
    <w:rsid w:val="00D81B78"/>
    <w:rsid w:val="00D82895"/>
    <w:rsid w:val="00D85141"/>
    <w:rsid w:val="00D869E1"/>
    <w:rsid w:val="00D90198"/>
    <w:rsid w:val="00D93881"/>
    <w:rsid w:val="00DA3595"/>
    <w:rsid w:val="00DB5785"/>
    <w:rsid w:val="00DC743B"/>
    <w:rsid w:val="00DD2974"/>
    <w:rsid w:val="00DD37FB"/>
    <w:rsid w:val="00DD6448"/>
    <w:rsid w:val="00DD74EA"/>
    <w:rsid w:val="00DD7E83"/>
    <w:rsid w:val="00DE3AFC"/>
    <w:rsid w:val="00DE3D28"/>
    <w:rsid w:val="00DF082F"/>
    <w:rsid w:val="00DF121E"/>
    <w:rsid w:val="00DF2BC3"/>
    <w:rsid w:val="00DF585D"/>
    <w:rsid w:val="00E0098D"/>
    <w:rsid w:val="00E04BD6"/>
    <w:rsid w:val="00E13CEF"/>
    <w:rsid w:val="00E17E56"/>
    <w:rsid w:val="00E26BF9"/>
    <w:rsid w:val="00E37811"/>
    <w:rsid w:val="00E4140E"/>
    <w:rsid w:val="00E478A6"/>
    <w:rsid w:val="00E51CC9"/>
    <w:rsid w:val="00E51EB6"/>
    <w:rsid w:val="00E561B4"/>
    <w:rsid w:val="00E617E0"/>
    <w:rsid w:val="00E63338"/>
    <w:rsid w:val="00E71C20"/>
    <w:rsid w:val="00E75E4C"/>
    <w:rsid w:val="00E809D1"/>
    <w:rsid w:val="00E919C7"/>
    <w:rsid w:val="00E94F68"/>
    <w:rsid w:val="00E95E29"/>
    <w:rsid w:val="00EA191F"/>
    <w:rsid w:val="00EA2B3F"/>
    <w:rsid w:val="00EA3F34"/>
    <w:rsid w:val="00EA5EDB"/>
    <w:rsid w:val="00EB2548"/>
    <w:rsid w:val="00EB3FF0"/>
    <w:rsid w:val="00EB4466"/>
    <w:rsid w:val="00EC019B"/>
    <w:rsid w:val="00EC5843"/>
    <w:rsid w:val="00ED2E57"/>
    <w:rsid w:val="00ED5BA6"/>
    <w:rsid w:val="00EE0EAC"/>
    <w:rsid w:val="00EE7D9F"/>
    <w:rsid w:val="00EE7DFC"/>
    <w:rsid w:val="00EF040A"/>
    <w:rsid w:val="00EF46D0"/>
    <w:rsid w:val="00EF65DF"/>
    <w:rsid w:val="00F275C0"/>
    <w:rsid w:val="00F31511"/>
    <w:rsid w:val="00F3243D"/>
    <w:rsid w:val="00F43222"/>
    <w:rsid w:val="00F43C52"/>
    <w:rsid w:val="00F53C61"/>
    <w:rsid w:val="00F64875"/>
    <w:rsid w:val="00F778F1"/>
    <w:rsid w:val="00F77F6F"/>
    <w:rsid w:val="00F838B6"/>
    <w:rsid w:val="00F8496B"/>
    <w:rsid w:val="00F9148F"/>
    <w:rsid w:val="00FA128A"/>
    <w:rsid w:val="00FA6C4B"/>
    <w:rsid w:val="00FB25B0"/>
    <w:rsid w:val="00FB3BC5"/>
    <w:rsid w:val="00FB6503"/>
    <w:rsid w:val="00FB6965"/>
    <w:rsid w:val="00FC54AA"/>
    <w:rsid w:val="00FD32E4"/>
    <w:rsid w:val="00FD7413"/>
    <w:rsid w:val="00FE0C75"/>
    <w:rsid w:val="00FE0E2B"/>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semiHidden/>
    <w:unhideWhenUsed/>
    <w:rsid w:val="00D41FE9"/>
    <w:rPr>
      <w:sz w:val="20"/>
    </w:rPr>
  </w:style>
  <w:style w:type="character" w:customStyle="1" w:styleId="CommentTextChar">
    <w:name w:val="Comment Text Char"/>
    <w:basedOn w:val="DefaultParagraphFont"/>
    <w:link w:val="CommentText"/>
    <w:uiPriority w:val="99"/>
    <w:semiHidden/>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974914"/>
    <w:pPr>
      <w:ind w:left="720"/>
      <w:contextualSpacing/>
    </w:pPr>
  </w:style>
  <w:style w:type="paragraph" w:customStyle="1" w:styleId="TableHead">
    <w:name w:val="Table Head"/>
    <w:basedOn w:val="Normal"/>
    <w:next w:val="Normal"/>
    <w:rsid w:val="00EF46D0"/>
    <w:pPr>
      <w:spacing w:before="80" w:after="80"/>
      <w:jc w:val="center"/>
    </w:pPr>
    <w:rPr>
      <w:b/>
      <w:spacing w:val="0"/>
      <w:sz w:val="18"/>
    </w:rPr>
  </w:style>
  <w:style w:type="paragraph" w:customStyle="1" w:styleId="tabletext">
    <w:name w:val="table text"/>
    <w:aliases w:val="t2"/>
    <w:basedOn w:val="Normal"/>
    <w:rsid w:val="00EF46D0"/>
    <w:pPr>
      <w:spacing w:before="40" w:after="40" w:line="220" w:lineRule="exact"/>
    </w:pPr>
    <w:rPr>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3867">
      <w:bodyDiv w:val="1"/>
      <w:marLeft w:val="0"/>
      <w:marRight w:val="0"/>
      <w:marTop w:val="0"/>
      <w:marBottom w:val="0"/>
      <w:divBdr>
        <w:top w:val="none" w:sz="0" w:space="0" w:color="auto"/>
        <w:left w:val="none" w:sz="0" w:space="0" w:color="auto"/>
        <w:bottom w:val="none" w:sz="0" w:space="0" w:color="auto"/>
        <w:right w:val="none" w:sz="0" w:space="0" w:color="auto"/>
      </w:divBdr>
    </w:div>
    <w:div w:id="1230531422">
      <w:bodyDiv w:val="1"/>
      <w:marLeft w:val="0"/>
      <w:marRight w:val="0"/>
      <w:marTop w:val="0"/>
      <w:marBottom w:val="0"/>
      <w:divBdr>
        <w:top w:val="none" w:sz="0" w:space="0" w:color="auto"/>
        <w:left w:val="none" w:sz="0" w:space="0" w:color="auto"/>
        <w:bottom w:val="none" w:sz="0" w:space="0" w:color="auto"/>
        <w:right w:val="none" w:sz="0" w:space="0" w:color="auto"/>
      </w:divBdr>
    </w:div>
    <w:div w:id="1495680483">
      <w:bodyDiv w:val="1"/>
      <w:marLeft w:val="0"/>
      <w:marRight w:val="0"/>
      <w:marTop w:val="0"/>
      <w:marBottom w:val="0"/>
      <w:divBdr>
        <w:top w:val="none" w:sz="0" w:space="0" w:color="auto"/>
        <w:left w:val="none" w:sz="0" w:space="0" w:color="auto"/>
        <w:bottom w:val="none" w:sz="0" w:space="0" w:color="auto"/>
        <w:right w:val="none" w:sz="0" w:space="0" w:color="auto"/>
      </w:divBdr>
    </w:div>
    <w:div w:id="1775325281">
      <w:bodyDiv w:val="1"/>
      <w:marLeft w:val="0"/>
      <w:marRight w:val="0"/>
      <w:marTop w:val="0"/>
      <w:marBottom w:val="0"/>
      <w:divBdr>
        <w:top w:val="none" w:sz="0" w:space="0" w:color="auto"/>
        <w:left w:val="none" w:sz="0" w:space="0" w:color="auto"/>
        <w:bottom w:val="none" w:sz="0" w:space="0" w:color="auto"/>
        <w:right w:val="none" w:sz="0" w:space="0" w:color="auto"/>
      </w:divBdr>
    </w:div>
    <w:div w:id="1842037186">
      <w:bodyDiv w:val="1"/>
      <w:marLeft w:val="0"/>
      <w:marRight w:val="0"/>
      <w:marTop w:val="0"/>
      <w:marBottom w:val="0"/>
      <w:divBdr>
        <w:top w:val="none" w:sz="0" w:space="0" w:color="auto"/>
        <w:left w:val="none" w:sz="0" w:space="0" w:color="auto"/>
        <w:bottom w:val="none" w:sz="0" w:space="0" w:color="auto"/>
        <w:right w:val="none" w:sz="0" w:space="0" w:color="auto"/>
      </w:divBdr>
    </w:div>
    <w:div w:id="18701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7173C-D39F-426D-B487-3BAD414C117D}">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24b8224c-5c6c-422f-9870-d7d19452eb64"/>
    <ds:schemaRef ds:uri="http://schemas.microsoft.com/office/2006/metadata/properties"/>
  </ds:schemaRefs>
</ds:datastoreItem>
</file>

<file path=customXml/itemProps2.xml><?xml version="1.0" encoding="utf-8"?>
<ds:datastoreItem xmlns:ds="http://schemas.openxmlformats.org/officeDocument/2006/customXml" ds:itemID="{FBF08296-52BF-4E02-832C-0987B55FB1B4}"/>
</file>

<file path=customXml/itemProps3.xml><?xml version="1.0" encoding="utf-8"?>
<ds:datastoreItem xmlns:ds="http://schemas.openxmlformats.org/officeDocument/2006/customXml" ds:itemID="{6E52328B-BCBA-47C4-BC00-DEC2E5D07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9</cp:revision>
  <cp:lastPrinted>2016-06-15T14:43:00Z</cp:lastPrinted>
  <dcterms:created xsi:type="dcterms:W3CDTF">2017-12-19T22:44:00Z</dcterms:created>
  <dcterms:modified xsi:type="dcterms:W3CDTF">2022-06-28T17:34:00Z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